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836" w:rsidRDefault="00B3383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B33836" w:rsidRDefault="00B33836">
      <w:pPr>
        <w:spacing w:line="580" w:lineRule="exact"/>
        <w:rPr>
          <w:rFonts w:ascii="黑体" w:eastAsia="黑体" w:hAnsi="黑体"/>
          <w:sz w:val="32"/>
          <w:szCs w:val="32"/>
        </w:rPr>
      </w:pPr>
    </w:p>
    <w:p w:rsidR="00B33836" w:rsidRDefault="00B33836">
      <w:pPr>
        <w:rPr>
          <w:rFonts w:ascii="黑体" w:eastAsia="黑体" w:hAnsi="黑体"/>
          <w:w w:val="90"/>
          <w:sz w:val="32"/>
          <w:szCs w:val="32"/>
        </w:rPr>
      </w:pPr>
    </w:p>
    <w:p w:rsidR="00B33836" w:rsidRDefault="00B33836">
      <w:pPr>
        <w:rPr>
          <w:rFonts w:ascii="黑体" w:eastAsia="黑体" w:hAnsi="黑体"/>
          <w:w w:val="90"/>
          <w:sz w:val="32"/>
          <w:szCs w:val="32"/>
        </w:rPr>
      </w:pPr>
      <w:bookmarkStart w:id="0" w:name="_GoBack"/>
      <w:bookmarkEnd w:id="0"/>
    </w:p>
    <w:p w:rsidR="00B33836" w:rsidRDefault="00206151">
      <w:pPr>
        <w:jc w:val="center"/>
        <w:rPr>
          <w:rFonts w:ascii="方正小标宋简体" w:eastAsia="方正小标宋简体"/>
          <w:color w:val="FF0000"/>
          <w:spacing w:val="-24"/>
          <w:w w:val="90"/>
          <w:sz w:val="104"/>
          <w:szCs w:val="104"/>
        </w:rPr>
      </w:pPr>
      <w:r>
        <w:rPr>
          <w:rFonts w:ascii="方正小标宋简体" w:eastAsia="方正小标宋简体" w:hint="eastAsia"/>
          <w:color w:val="FF0000"/>
          <w:spacing w:val="-24"/>
          <w:w w:val="90"/>
          <w:sz w:val="104"/>
          <w:szCs w:val="104"/>
        </w:rPr>
        <w:t>海阳市人民政府文件</w:t>
      </w:r>
    </w:p>
    <w:p w:rsidR="00B33836" w:rsidRDefault="00B33836">
      <w:pPr>
        <w:spacing w:line="600" w:lineRule="exact"/>
        <w:jc w:val="center"/>
        <w:rPr>
          <w:rFonts w:ascii="方正小标宋简体" w:eastAsia="方正小标宋简体"/>
          <w:sz w:val="32"/>
          <w:szCs w:val="32"/>
        </w:rPr>
      </w:pPr>
    </w:p>
    <w:p w:rsidR="00B33836" w:rsidRDefault="00206151">
      <w:pPr>
        <w:spacing w:line="600" w:lineRule="exact"/>
        <w:jc w:val="center"/>
        <w:rPr>
          <w:rFonts w:ascii="仿宋_GB2312" w:eastAsia="仿宋_GB2312"/>
          <w:color w:val="FFFFFF" w:themeColor="background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海政发〔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  <w:r>
        <w:rPr>
          <w:rFonts w:ascii="仿宋_GB2312" w:eastAsia="仿宋_GB2312" w:hint="eastAsia"/>
          <w:color w:val="FFFFFF" w:themeColor="background1"/>
          <w:sz w:val="32"/>
          <w:szCs w:val="32"/>
        </w:rPr>
        <w:t>海政</w:t>
      </w:r>
    </w:p>
    <w:p w:rsidR="00B33836" w:rsidRDefault="00B33836">
      <w:pPr>
        <w:tabs>
          <w:tab w:val="center" w:pos="4422"/>
          <w:tab w:val="right" w:pos="8844"/>
        </w:tabs>
        <w:spacing w:line="600" w:lineRule="exact"/>
        <w:rPr>
          <w:rFonts w:ascii="方正小标宋简体" w:eastAsia="方正小标宋简体"/>
          <w:sz w:val="44"/>
          <w:szCs w:val="44"/>
        </w:rPr>
      </w:pPr>
      <w:r w:rsidRPr="00B33836">
        <w:rPr>
          <w:rFonts w:ascii="方正小标宋简体" w:eastAsia="方正小标宋简体"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10.2pt;width:442.2pt;height:0;z-index:-251658752;mso-position-horizontal-relative:margin" o:gfxdata="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FgAAAGRycy9QSwECFAAUAAAACACHTuJA&#10;8mjaGNMAAAAGAQAADwAAAAAAAAABACAAAAA4AAAAZHJzL2Rvd25yZXYueG1sUEsBAhQAFAAAAAgA&#10;h07iQEeAWQ/bAQAAlgMAAA4AAAAAAAAAAQAgAAAAOAEAAGRycy9lMm9Eb2MueG1sUEsFBgAAAAAG&#10;AAYAWQEAAIUFAAAAAA==&#10;" strokecolor="red" strokeweight="1.5pt">
            <w10:wrap anchorx="margin"/>
          </v:shape>
        </w:pict>
      </w:r>
      <w:r w:rsidR="00206151">
        <w:rPr>
          <w:rFonts w:ascii="方正小标宋简体" w:eastAsia="方正小标宋简体"/>
          <w:sz w:val="32"/>
          <w:szCs w:val="32"/>
        </w:rPr>
        <w:tab/>
      </w:r>
      <w:bookmarkStart w:id="1" w:name="_Hlk44661710"/>
      <w:bookmarkEnd w:id="1"/>
    </w:p>
    <w:p w:rsidR="00B33836" w:rsidRDefault="00206151">
      <w:pPr>
        <w:widowControl/>
        <w:snapToGrid w:val="0"/>
        <w:spacing w:line="680" w:lineRule="exact"/>
        <w:jc w:val="center"/>
        <w:rPr>
          <w:rFonts w:ascii="方正小标宋简体" w:eastAsia="方正小标宋简体" w:hAnsi="宋体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-20"/>
          <w:kern w:val="0"/>
          <w:sz w:val="44"/>
          <w:szCs w:val="44"/>
        </w:rPr>
        <w:t>海阳市人民政府</w:t>
      </w:r>
    </w:p>
    <w:p w:rsidR="00B33836" w:rsidRDefault="00206151">
      <w:pPr>
        <w:widowControl/>
        <w:snapToGrid w:val="0"/>
        <w:spacing w:line="680" w:lineRule="exact"/>
        <w:jc w:val="center"/>
        <w:rPr>
          <w:rFonts w:ascii="方正小标宋简体" w:eastAsia="方正小标宋简体" w:hAnsi="宋体"/>
          <w:bCs/>
          <w:spacing w:val="-20"/>
          <w:kern w:val="0"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pacing w:val="-20"/>
          <w:kern w:val="0"/>
          <w:sz w:val="44"/>
          <w:szCs w:val="44"/>
        </w:rPr>
        <w:t>关于</w:t>
      </w:r>
      <w:r>
        <w:rPr>
          <w:rFonts w:ascii="方正小标宋简体" w:eastAsia="方正小标宋简体" w:hAnsi="宋体" w:hint="eastAsia"/>
          <w:b/>
          <w:bCs/>
          <w:spacing w:val="-20"/>
          <w:kern w:val="0"/>
          <w:sz w:val="44"/>
          <w:szCs w:val="44"/>
        </w:rPr>
        <w:t>《</w:t>
      </w:r>
      <w:r>
        <w:rPr>
          <w:rFonts w:ascii="方正小标宋简体" w:eastAsia="方正小标宋简体" w:hAnsi="宋体" w:hint="eastAsia"/>
          <w:bCs/>
          <w:spacing w:val="-20"/>
          <w:kern w:val="0"/>
          <w:sz w:val="44"/>
          <w:szCs w:val="44"/>
        </w:rPr>
        <w:t>政府工作报告</w:t>
      </w:r>
      <w:r>
        <w:rPr>
          <w:rFonts w:ascii="方正小标宋简体" w:eastAsia="方正小标宋简体" w:hAnsi="宋体" w:hint="eastAsia"/>
          <w:b/>
          <w:bCs/>
          <w:spacing w:val="-20"/>
          <w:kern w:val="0"/>
          <w:sz w:val="44"/>
          <w:szCs w:val="44"/>
        </w:rPr>
        <w:t>》</w:t>
      </w:r>
      <w:r>
        <w:rPr>
          <w:rFonts w:ascii="方正小标宋简体" w:eastAsia="方正小标宋简体" w:hAnsi="宋体" w:hint="eastAsia"/>
          <w:bCs/>
          <w:spacing w:val="-20"/>
          <w:kern w:val="0"/>
          <w:sz w:val="44"/>
          <w:szCs w:val="44"/>
        </w:rPr>
        <w:t>重点工作责任分工的意见</w:t>
      </w:r>
    </w:p>
    <w:p w:rsidR="00B33836" w:rsidRDefault="00B33836">
      <w:pPr>
        <w:spacing w:line="600" w:lineRule="exact"/>
        <w:rPr>
          <w:rFonts w:ascii="仿宋_GB2312" w:eastAsia="仿宋_GB2312" w:hAnsi="宋体"/>
          <w:sz w:val="32"/>
          <w:szCs w:val="32"/>
        </w:rPr>
      </w:pPr>
    </w:p>
    <w:p w:rsidR="00B33836" w:rsidRDefault="00206151">
      <w:pPr>
        <w:spacing w:line="60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各镇区街道政府（管委、办事处），市政府各部门，有关单位：</w:t>
      </w:r>
    </w:p>
    <w:p w:rsidR="00B33836" w:rsidRDefault="0020615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仿宋_GB2312" w:eastAsia="仿宋_GB2312" w:hAnsi="宋体" w:hint="eastAsia"/>
          <w:sz w:val="32"/>
          <w:szCs w:val="32"/>
        </w:rPr>
        <w:t>为全面落实十九届人大四次会议第三次全体会议通过的《政府工作报告》，现对《政府工作报告》确定的</w:t>
      </w:r>
      <w:r>
        <w:rPr>
          <w:rFonts w:ascii="仿宋_GB2312" w:eastAsia="仿宋_GB2312" w:hAnsi="宋体" w:hint="eastAsia"/>
          <w:sz w:val="32"/>
          <w:szCs w:val="32"/>
        </w:rPr>
        <w:t>145</w:t>
      </w:r>
      <w:r>
        <w:rPr>
          <w:rFonts w:ascii="仿宋_GB2312" w:eastAsia="仿宋_GB2312" w:hAnsi="宋体" w:hint="eastAsia"/>
          <w:sz w:val="32"/>
          <w:szCs w:val="32"/>
        </w:rPr>
        <w:t>项重点工作提出如下分工意见。</w:t>
      </w:r>
    </w:p>
    <w:p w:rsidR="00B33836" w:rsidRDefault="0020615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一、完成全市经济社会发展主要预期目标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1.</w:t>
      </w:r>
      <w:r>
        <w:rPr>
          <w:rFonts w:ascii="仿宋_GB2312" w:eastAsia="仿宋_GB2312" w:hint="eastAsia"/>
          <w:color w:val="000000"/>
          <w:sz w:val="32"/>
          <w:szCs w:val="32"/>
        </w:rPr>
        <w:t>地区生产总值增长</w:t>
      </w:r>
      <w:r>
        <w:rPr>
          <w:rFonts w:ascii="仿宋_GB2312" w:eastAsia="仿宋_GB2312" w:hint="eastAsia"/>
          <w:color w:val="000000"/>
          <w:sz w:val="32"/>
          <w:szCs w:val="32"/>
        </w:rPr>
        <w:t>5.5%</w:t>
      </w:r>
      <w:r>
        <w:rPr>
          <w:rFonts w:ascii="仿宋_GB2312" w:eastAsia="仿宋_GB2312" w:hint="eastAsia"/>
          <w:color w:val="000000"/>
          <w:sz w:val="32"/>
          <w:szCs w:val="32"/>
        </w:rPr>
        <w:t>左右。</w:t>
      </w:r>
      <w:r>
        <w:rPr>
          <w:rFonts w:ascii="楷体_GB2312" w:eastAsia="楷体_GB2312" w:hAnsi="楷体_GB2312" w:cs="楷体_GB2312" w:hint="eastAsia"/>
          <w:sz w:val="32"/>
          <w:szCs w:val="32"/>
        </w:rPr>
        <w:t>（牵头领导：梁景俊；牵头单位：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2.</w:t>
      </w:r>
      <w:r>
        <w:rPr>
          <w:rFonts w:ascii="仿宋_GB2312" w:eastAsia="仿宋_GB2312" w:hint="eastAsia"/>
          <w:color w:val="000000"/>
          <w:sz w:val="32"/>
          <w:szCs w:val="32"/>
        </w:rPr>
        <w:t>一般公共预算收入增长</w:t>
      </w:r>
      <w:r>
        <w:rPr>
          <w:rFonts w:ascii="仿宋_GB2312" w:eastAsia="仿宋_GB2312" w:hint="eastAsia"/>
          <w:color w:val="000000"/>
          <w:sz w:val="32"/>
          <w:szCs w:val="32"/>
        </w:rPr>
        <w:t>3.5%</w:t>
      </w:r>
      <w:r>
        <w:rPr>
          <w:rFonts w:ascii="仿宋_GB2312" w:eastAsia="仿宋_GB2312" w:hint="eastAsia"/>
          <w:color w:val="000000"/>
          <w:sz w:val="32"/>
          <w:szCs w:val="32"/>
        </w:rPr>
        <w:t>左右。</w:t>
      </w:r>
      <w:r>
        <w:rPr>
          <w:rFonts w:ascii="楷体_GB2312" w:eastAsia="楷体_GB2312" w:hAnsi="楷体_GB2312" w:cs="楷体_GB2312" w:hint="eastAsia"/>
          <w:color w:val="000000"/>
          <w:sz w:val="32"/>
        </w:rPr>
        <w:t>（牵头领导：梁景俊；牵头单位：财政局）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规模以上工业增加值增长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8%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左右。</w:t>
      </w:r>
      <w:r>
        <w:rPr>
          <w:rFonts w:ascii="楷体_GB2312" w:eastAsia="楷体_GB2312" w:hAnsi="楷体_GB2312" w:cs="楷体_GB2312" w:hint="eastAsia"/>
          <w:color w:val="000000"/>
          <w:sz w:val="32"/>
        </w:rPr>
        <w:t>（牵头领导：范晓鹏；牵头单位：工业和信息化局）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</w:t>
      </w:r>
      <w:r>
        <w:rPr>
          <w:rFonts w:ascii="仿宋_GB2312" w:eastAsia="仿宋_GB2312" w:hint="eastAsia"/>
          <w:color w:val="000000"/>
          <w:sz w:val="32"/>
          <w:szCs w:val="32"/>
        </w:rPr>
        <w:t>固定资产投资保持合理增长</w:t>
      </w:r>
      <w:r>
        <w:rPr>
          <w:rFonts w:ascii="楷体_GB2312" w:eastAsia="楷体_GB2312" w:hAnsi="楷体_GB2312" w:cs="楷体_GB2312" w:hint="eastAsia"/>
          <w:color w:val="000000"/>
          <w:sz w:val="32"/>
        </w:rPr>
        <w:t>。（牵头领导：梁景俊；牵头单位：发展和改革局）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</w:t>
      </w:r>
      <w:r>
        <w:rPr>
          <w:rFonts w:ascii="仿宋_GB2312" w:eastAsia="仿宋_GB2312" w:hint="eastAsia"/>
          <w:color w:val="000000"/>
          <w:sz w:val="32"/>
          <w:szCs w:val="32"/>
        </w:rPr>
        <w:t>社会消费品零售总额增速高于烟台平均。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牵头领导：范晓鹏；牵头单位：商务局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int="eastAsia"/>
          <w:color w:val="000000"/>
          <w:sz w:val="32"/>
          <w:szCs w:val="32"/>
        </w:rPr>
        <w:t>外贸外资稳量提质。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牵头领导：范晓鹏；牵头单位：商务局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</w:t>
      </w:r>
      <w:r>
        <w:rPr>
          <w:rFonts w:ascii="仿宋_GB2312" w:eastAsia="仿宋_GB2312" w:hint="eastAsia"/>
          <w:color w:val="000000"/>
          <w:sz w:val="32"/>
          <w:szCs w:val="32"/>
        </w:rPr>
        <w:t>居民人均可支配收入与经济增长同步。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</w:t>
      </w:r>
      <w:r>
        <w:rPr>
          <w:rFonts w:ascii="仿宋_GB2312" w:eastAsia="仿宋_GB2312" w:hint="eastAsia"/>
          <w:color w:val="000000"/>
          <w:sz w:val="32"/>
          <w:szCs w:val="32"/>
        </w:rPr>
        <w:t>完成上级下达的节能减排降碳约束性指标和环境质量改善目标。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牵头领导：梁景俊、丁伟；牵头单位：发展和改革局、生态环境局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二</w:t>
      </w:r>
      <w:r>
        <w:rPr>
          <w:rFonts w:ascii="黑体" w:eastAsia="黑体" w:hAnsi="黑体" w:hint="eastAsia"/>
          <w:color w:val="000000"/>
          <w:sz w:val="32"/>
        </w:rPr>
        <w:t>、以丁字湾开发为主线，更高水平培育新质生产力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（一）打造绿色能源综合利用示范城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</w:t>
      </w:r>
      <w:r>
        <w:rPr>
          <w:rFonts w:ascii="仿宋_GB2312" w:eastAsia="仿宋_GB2312" w:hint="eastAsia"/>
          <w:color w:val="000000"/>
          <w:sz w:val="32"/>
          <w:szCs w:val="32"/>
        </w:rPr>
        <w:t>加快海阳核电二期建设步伐。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牵头领导：梁景俊；牵头单位：核电园区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</w:t>
      </w:r>
      <w:r>
        <w:rPr>
          <w:rFonts w:ascii="仿宋_GB2312" w:eastAsia="仿宋_GB2312" w:hint="eastAsia"/>
          <w:color w:val="000000"/>
          <w:sz w:val="32"/>
          <w:szCs w:val="32"/>
        </w:rPr>
        <w:t>加快国家级先进能源示范区建设步伐。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牵头领导：梁景俊；牵头单位：清洁能源产业服务中心；配合单位：辛安镇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11.</w:t>
      </w:r>
      <w:r>
        <w:rPr>
          <w:rFonts w:ascii="仿宋_GB2312" w:eastAsia="仿宋_GB2312" w:hint="eastAsia"/>
          <w:color w:val="000000"/>
          <w:sz w:val="32"/>
          <w:szCs w:val="32"/>
        </w:rPr>
        <w:t>推动海阳核电三期列入核准计划。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12.</w:t>
      </w:r>
      <w:r>
        <w:rPr>
          <w:rFonts w:ascii="仿宋_GB2312" w:eastAsia="仿宋_GB2312" w:hint="eastAsia"/>
          <w:color w:val="000000"/>
          <w:sz w:val="32"/>
          <w:szCs w:val="32"/>
        </w:rPr>
        <w:t>推动一体化小型堆列入核准计划。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13.</w:t>
      </w:r>
      <w:r>
        <w:rPr>
          <w:rFonts w:ascii="仿宋_GB2312" w:eastAsia="仿宋_GB2312" w:hint="eastAsia"/>
          <w:color w:val="000000"/>
          <w:sz w:val="32"/>
          <w:szCs w:val="32"/>
        </w:rPr>
        <w:t>推动辛安核电一期列入核准计划。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牵头领导：梁景俊；牵头单位：清洁能源产业服务中心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14.</w:t>
      </w:r>
      <w:r>
        <w:rPr>
          <w:rFonts w:ascii="仿宋_GB2312" w:eastAsia="仿宋_GB2312" w:hint="eastAsia"/>
          <w:color w:val="000000"/>
          <w:sz w:val="32"/>
          <w:szCs w:val="32"/>
        </w:rPr>
        <w:t>争取国家电投海上光伏纳入省专项规划。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15.</w:t>
      </w:r>
      <w:r>
        <w:rPr>
          <w:rFonts w:ascii="仿宋_GB2312" w:eastAsia="仿宋_GB2312" w:hint="eastAsia"/>
          <w:color w:val="000000"/>
          <w:sz w:val="32"/>
          <w:szCs w:val="32"/>
        </w:rPr>
        <w:t>争取海阳南</w:t>
      </w:r>
      <w:r>
        <w:rPr>
          <w:rFonts w:ascii="仿宋_GB2312" w:eastAsia="仿宋_GB2312" w:hint="eastAsia"/>
          <w:color w:val="000000"/>
          <w:sz w:val="32"/>
          <w:szCs w:val="32"/>
        </w:rPr>
        <w:t>1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hint="eastAsia"/>
          <w:color w:val="000000"/>
          <w:sz w:val="32"/>
          <w:szCs w:val="32"/>
        </w:rPr>
        <w:t>4</w:t>
      </w:r>
      <w:r>
        <w:rPr>
          <w:rFonts w:ascii="仿宋_GB2312" w:eastAsia="仿宋_GB2312" w:hint="eastAsia"/>
          <w:color w:val="000000"/>
          <w:sz w:val="32"/>
          <w:szCs w:val="32"/>
        </w:rPr>
        <w:t>号海上风电纳入省专项规划。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16.</w:t>
      </w:r>
      <w:r>
        <w:rPr>
          <w:rFonts w:ascii="仿宋_GB2312" w:eastAsia="仿宋_GB2312" w:hint="eastAsia"/>
          <w:sz w:val="32"/>
          <w:szCs w:val="32"/>
        </w:rPr>
        <w:t>推动万华绿电产业园能源项目建设。</w:t>
      </w: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</w:rPr>
        <w:t>牵头领导：梁景俊；牵头单位：万华绿电产业园指挥部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17.</w:t>
      </w:r>
      <w:r>
        <w:rPr>
          <w:rFonts w:ascii="仿宋_GB2312" w:eastAsia="仿宋_GB2312" w:hint="eastAsia"/>
          <w:color w:val="000000"/>
          <w:sz w:val="32"/>
          <w:szCs w:val="32"/>
        </w:rPr>
        <w:t>推动华能渔光互补项目建设。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牵头领导：梁景俊；牵头单位：清洁能源产业服务中心；配合单位：辛安镇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18.</w:t>
      </w:r>
      <w:r>
        <w:rPr>
          <w:rFonts w:ascii="仿宋_GB2312" w:eastAsia="仿宋_GB2312" w:hint="eastAsia"/>
          <w:color w:val="000000"/>
          <w:sz w:val="32"/>
          <w:szCs w:val="32"/>
        </w:rPr>
        <w:t>推动融进渔光互补项目建设。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牵头领导：修京堂；牵头单位：行村镇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19.</w:t>
      </w:r>
      <w:r>
        <w:rPr>
          <w:rFonts w:ascii="仿宋_GB2312" w:eastAsia="仿宋_GB2312" w:hint="eastAsia"/>
          <w:color w:val="000000"/>
          <w:sz w:val="32"/>
          <w:szCs w:val="32"/>
        </w:rPr>
        <w:t>实施中核特高压送出工程。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牵头领导：梁景俊；牵头单位：供电公司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20.</w:t>
      </w:r>
      <w:r>
        <w:rPr>
          <w:rFonts w:ascii="仿宋_GB2312" w:eastAsia="仿宋_GB2312" w:hint="eastAsia"/>
          <w:color w:val="000000"/>
          <w:sz w:val="32"/>
          <w:szCs w:val="32"/>
        </w:rPr>
        <w:t>规划建设区域性储能中心、压缩空气储能项目。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牵头领导：梁景俊；牵头单位：清洁能源产业服务中心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21.</w:t>
      </w:r>
      <w:r>
        <w:rPr>
          <w:rFonts w:ascii="仿宋_GB2312" w:eastAsia="仿宋_GB2312" w:hint="eastAsia"/>
          <w:color w:val="000000"/>
          <w:sz w:val="32"/>
          <w:szCs w:val="32"/>
        </w:rPr>
        <w:t>力争进入全省能源绿色低碳转型十强县前列。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梁景俊；牵头单位：发展和改革局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（二）打造商业航天发展先导城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22.</w:t>
      </w:r>
      <w:r>
        <w:rPr>
          <w:rFonts w:ascii="仿宋_GB2312" w:eastAsia="仿宋_GB2312" w:hint="eastAsia"/>
          <w:color w:val="000000"/>
          <w:sz w:val="32"/>
          <w:szCs w:val="32"/>
        </w:rPr>
        <w:t>海上发射指挥船开工建设。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牵头领导：梁景俊；牵头单位：航空航天产业发展中心；配合单位：海事处、东方航天港集团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23.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坐底式海上发射平台年内投用。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牵头领导：梁景俊；牵头单位：航空航天产业发展中心；配合单位：港航服务中心、东方航天港集团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24.</w:t>
      </w:r>
      <w:r>
        <w:rPr>
          <w:rFonts w:ascii="仿宋_GB2312" w:eastAsia="仿宋_GB2312" w:hint="eastAsia"/>
          <w:color w:val="000000"/>
          <w:sz w:val="32"/>
          <w:szCs w:val="32"/>
        </w:rPr>
        <w:t>争取全年保障发射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次以上。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牵头领导：梁景俊；牵头单位：航空航天产业发展中心；配合单位：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海上发射服务协调保障工作专班各成员单位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25.</w:t>
      </w:r>
      <w:r>
        <w:rPr>
          <w:rFonts w:ascii="仿宋_GB2312" w:eastAsia="仿宋_GB2312" w:hint="eastAsia"/>
          <w:color w:val="000000"/>
          <w:sz w:val="32"/>
          <w:szCs w:val="32"/>
        </w:rPr>
        <w:t>开工建设液体火箭动力试车基地。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牵头领导：梁景俊；牵头单位：航空航天产业发展中心；配合单位：凤城街道、工业和信息化局、自然资源和规划局、海洋发展和渔业局、海发水务集团、东方航天港集团）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26.</w:t>
      </w:r>
      <w:r>
        <w:rPr>
          <w:rFonts w:ascii="仿宋_GB2312" w:eastAsia="仿宋_GB2312" w:hint="eastAsia"/>
          <w:color w:val="000000"/>
          <w:sz w:val="32"/>
          <w:szCs w:val="32"/>
        </w:rPr>
        <w:t>精准对接各方发射需求，规划打造液体火箭发射工位。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天产业发展中心；配合单位：工业和信息化局、自然资源和规划局、港航服务中心、东方航天港集团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27.</w:t>
      </w:r>
      <w:r>
        <w:rPr>
          <w:rFonts w:ascii="仿宋_GB2312" w:eastAsia="仿宋_GB2312" w:hint="eastAsia"/>
          <w:color w:val="000000"/>
          <w:sz w:val="32"/>
          <w:szCs w:val="32"/>
        </w:rPr>
        <w:t>开展长征十二号火箭发射回收试验。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牵头领导：梁景俊；牵头单位：航空航天产业发展中心</w:t>
      </w:r>
      <w:r>
        <w:rPr>
          <w:rFonts w:ascii="楷体_GB2312" w:eastAsia="楷体_GB2312" w:hAnsi="宋体" w:cs="楷体_GB2312" w:hint="eastAsia"/>
          <w:color w:val="000000"/>
          <w:kern w:val="0"/>
          <w:sz w:val="32"/>
          <w:szCs w:val="32"/>
        </w:rPr>
        <w:t>；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配合单位：旅游度假区、市</w:t>
      </w:r>
      <w:r>
        <w:rPr>
          <w:rFonts w:ascii="楷体_GB2312" w:eastAsia="楷体_GB2312" w:hAnsi="楷体_GB2312" w:cs="楷体_GB2312" w:hint="eastAsia"/>
          <w:color w:val="000000"/>
          <w:sz w:val="32"/>
          <w:szCs w:val="32"/>
        </w:rPr>
        <w:lastRenderedPageBreak/>
        <w:t>政府办公室、工业和信息化局、公安局、海洋发展和渔业局、应急管理局、海事处、供电公司、联通公司、海发水务集团、东方航天港集团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28.</w:t>
      </w:r>
      <w:r>
        <w:rPr>
          <w:rFonts w:ascii="仿宋_GB2312" w:eastAsia="仿宋_GB2312" w:hint="eastAsia"/>
          <w:color w:val="000000"/>
          <w:sz w:val="32"/>
          <w:szCs w:val="32"/>
        </w:rPr>
        <w:t>完成“东方慧眼”星座第一阶段卫星组网，启动第二阶段卫星研制。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牵头领导：梁景俊；牵头单位：航空航天产业发展中心；配合单位：工业和信息化局、发展和改革局、东方航天港集团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29.</w:t>
      </w:r>
      <w:r>
        <w:rPr>
          <w:rFonts w:ascii="仿宋_GB2312" w:eastAsia="仿宋_GB2312" w:hint="eastAsia"/>
          <w:color w:val="000000"/>
          <w:sz w:val="32"/>
          <w:szCs w:val="32"/>
        </w:rPr>
        <w:t>推广“开放地球引擎”系统平台应用。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发展和改革局、海洋发展和渔业局、林业局、农业农村局、自然资源和规划局、生态环境局、交通运输局、住房和城乡建设局、应急管理局、大数据服务中心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30.</w:t>
      </w:r>
      <w:r>
        <w:rPr>
          <w:rFonts w:ascii="仿宋_GB2312" w:eastAsia="仿宋_GB2312" w:hint="eastAsia"/>
          <w:color w:val="000000"/>
          <w:sz w:val="32"/>
          <w:szCs w:val="32"/>
        </w:rPr>
        <w:t>争取国家基础地理信息中心试点任务。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牵头领导：梁景俊、丁伟；牵头单位：航空航天产业发展中心、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自然资源和规划局；配合单位：东方航天港集团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31.</w:t>
      </w:r>
      <w:r>
        <w:rPr>
          <w:rFonts w:ascii="仿宋_GB2312" w:eastAsia="仿宋_GB2312" w:hint="eastAsia"/>
          <w:color w:val="000000"/>
          <w:sz w:val="32"/>
          <w:szCs w:val="32"/>
        </w:rPr>
        <w:t>搭建卫星数据交易平台。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牵头领导：梁景俊；牵头单位：航空航天产业发展中心；配合单位：大数据服务中心、东</w:t>
      </w:r>
      <w:r>
        <w:rPr>
          <w:rFonts w:ascii="楷体_GB2312" w:eastAsia="楷体_GB2312" w:hAnsi="楷体_GB2312" w:cs="楷体_GB2312" w:hint="eastAsia"/>
          <w:color w:val="000000"/>
          <w:sz w:val="32"/>
        </w:rPr>
        <w:t>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32.</w:t>
      </w:r>
      <w:r>
        <w:rPr>
          <w:rFonts w:ascii="仿宋_GB2312" w:eastAsia="仿宋_GB2312" w:hint="eastAsia"/>
          <w:color w:val="000000"/>
          <w:sz w:val="32"/>
          <w:szCs w:val="32"/>
        </w:rPr>
        <w:t>启动智算中心二期建设。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牵头领导：梁景俊；牵头单位：航空航天产业发展中心；配合单位：大数据服务中心、东方航天港集团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33.</w:t>
      </w:r>
      <w:r>
        <w:rPr>
          <w:rFonts w:ascii="仿宋_GB2312" w:eastAsia="仿宋_GB2312" w:hint="eastAsia"/>
          <w:color w:val="000000"/>
          <w:sz w:val="32"/>
          <w:szCs w:val="32"/>
        </w:rPr>
        <w:t>启动卫星工厂建设。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牵头领导：梁景俊；牵头单位：航空航天产业发展中心；配合单位：发展和改革局、工业和信息化局、东方航天港集团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（三）打造新材料产业集聚创新城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34.</w:t>
      </w:r>
      <w:r>
        <w:rPr>
          <w:rFonts w:ascii="仿宋_GB2312" w:eastAsia="仿宋_GB2312" w:hint="eastAsia"/>
          <w:sz w:val="32"/>
          <w:szCs w:val="32"/>
        </w:rPr>
        <w:t>全力推动万华新一代电池材料项目年初开工、快速建设。</w:t>
      </w: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</w:rPr>
        <w:t>牵头领导：梁景俊；牵头单位：万华绿电产业园指挥部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35.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年内富利二期项目投产。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牵头领导：修京堂；牵头单位：行村镇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36.</w:t>
      </w:r>
      <w:r>
        <w:rPr>
          <w:rFonts w:ascii="仿宋_GB2312" w:eastAsia="仿宋_GB2312" w:hint="eastAsia"/>
          <w:color w:val="000000"/>
          <w:sz w:val="32"/>
          <w:szCs w:val="32"/>
        </w:rPr>
        <w:t>年内中膜项目投产。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牵头领导：修京堂；牵头单位：行村镇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37.</w:t>
      </w:r>
      <w:r>
        <w:rPr>
          <w:rFonts w:ascii="仿宋_GB2312" w:eastAsia="仿宋_GB2312" w:hint="eastAsia"/>
          <w:color w:val="000000"/>
          <w:sz w:val="32"/>
          <w:szCs w:val="32"/>
        </w:rPr>
        <w:t>仓里科技二期项目落地。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牵头领导：修京堂；牵头单位：行村镇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38.</w:t>
      </w:r>
      <w:r>
        <w:rPr>
          <w:rFonts w:ascii="仿宋_GB2312" w:eastAsia="仿宋_GB2312" w:hint="eastAsia"/>
          <w:color w:val="000000"/>
          <w:sz w:val="32"/>
          <w:szCs w:val="32"/>
        </w:rPr>
        <w:t>高端彩印包装项目落地。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牵头领导：修京堂；牵头单位：行村镇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（四）打造优势产业转型升级生态城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39.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持续实施毛衫产业“三品”战略，开展核心设备“焕新”行动。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牵头领导：范晓鹏；牵头单位：工业和信息化局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40.</w:t>
      </w:r>
      <w:r>
        <w:rPr>
          <w:rFonts w:ascii="仿宋_GB2312" w:eastAsia="仿宋_GB2312" w:hint="eastAsia"/>
          <w:color w:val="000000"/>
          <w:sz w:val="32"/>
          <w:szCs w:val="32"/>
        </w:rPr>
        <w:t>高质量举办第八届毛衫艺术节。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牵头领导：范晓鹏；牵头单位：工业和信息化局；配合单位：市委宣传部、财政局、商务局、现代农业发展集团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41.</w:t>
      </w:r>
      <w:r>
        <w:rPr>
          <w:rFonts w:ascii="仿宋_GB2312" w:eastAsia="仿宋_GB2312" w:hint="eastAsia"/>
          <w:color w:val="000000"/>
          <w:sz w:val="32"/>
          <w:szCs w:val="32"/>
        </w:rPr>
        <w:t>加快山东港口装备制造项目建设。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牵头领导：梁景俊、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姜雪；牵头单位：发展和改革局、凤城街道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三、以改革开放为驱动，更加充分激活发展动能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" w:cs="楷体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（一）奋力推进重点领域改革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42.</w:t>
      </w:r>
      <w:r>
        <w:rPr>
          <w:rFonts w:ascii="仿宋_GB2312" w:eastAsia="仿宋_GB2312" w:hint="eastAsia"/>
          <w:color w:val="000000"/>
          <w:sz w:val="32"/>
          <w:szCs w:val="32"/>
        </w:rPr>
        <w:t>在扎实推进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个省级以上改革试点的基础上，积极争取更多具有重大影响力的试点任务。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牵头领导：付思睿；牵头单位：市委全面深化改革委员会办公室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43.</w:t>
      </w:r>
      <w:r>
        <w:rPr>
          <w:rFonts w:ascii="仿宋_GB2312" w:eastAsia="仿宋_GB2312" w:hint="eastAsia"/>
          <w:color w:val="000000"/>
          <w:sz w:val="32"/>
          <w:szCs w:val="32"/>
        </w:rPr>
        <w:t>打好国企深化改革提升行动攻坚战，力争年内发行一批成本低、周期长的高质量债券。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牵头领导：梁景俊；牵头单位：财政局；配合单位：各市属企业）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44.</w:t>
      </w:r>
      <w:r>
        <w:rPr>
          <w:rFonts w:ascii="仿宋_GB2312" w:eastAsia="仿宋_GB2312" w:hint="eastAsia"/>
          <w:sz w:val="32"/>
          <w:szCs w:val="32"/>
        </w:rPr>
        <w:t>纵深推进“放管服”改革，更大力度推进法治化、市场化营商环境建设，维护好市场的公平性和有效性。</w:t>
      </w: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</w:t>
      </w:r>
      <w:r>
        <w:rPr>
          <w:rFonts w:ascii="楷体_GB2312" w:eastAsia="楷体_GB2312" w:hAnsi="楷体_GB2312" w:cs="楷体_GB2312" w:hint="eastAsia"/>
          <w:sz w:val="32"/>
        </w:rPr>
        <w:t>牵头单位：市政府办公室；配合单位：发展和改革局、工业和信息化局、市场监督管理局、行政审批服务局、司法局、城市运行中心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45.</w:t>
      </w:r>
      <w:r>
        <w:rPr>
          <w:rFonts w:ascii="仿宋_GB2312" w:eastAsia="仿宋_GB2312" w:hint="eastAsia"/>
          <w:color w:val="000000"/>
          <w:sz w:val="32"/>
          <w:szCs w:val="32"/>
        </w:rPr>
        <w:t>实施好服务企业专员制度，开展骨干企业倍增计划。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牵头领导：范晓鹏；牵头单位：工业和信息化局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46.</w:t>
      </w:r>
      <w:r>
        <w:rPr>
          <w:rFonts w:ascii="仿宋_GB2312" w:eastAsia="仿宋_GB2312" w:hint="eastAsia"/>
          <w:color w:val="000000"/>
          <w:sz w:val="32"/>
          <w:szCs w:val="32"/>
        </w:rPr>
        <w:t>加强数字政府建设。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牵头领导：梁景俊；牵头单位：大数据服务中心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47.</w:t>
      </w:r>
      <w:r>
        <w:rPr>
          <w:rFonts w:ascii="仿宋_GB2312" w:eastAsia="仿宋_GB2312" w:hint="eastAsia"/>
          <w:color w:val="000000"/>
          <w:sz w:val="32"/>
          <w:szCs w:val="32"/>
        </w:rPr>
        <w:t>完成“城市大脑”平台软硬件打造。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牵头领导：梁景俊；牵头单位：大数据服务中心；配合单位：文化旅游发展集团）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48.</w:t>
      </w:r>
      <w:r>
        <w:rPr>
          <w:rFonts w:ascii="仿宋_GB2312" w:eastAsia="仿宋_GB2312" w:hint="eastAsia"/>
          <w:color w:val="000000"/>
          <w:sz w:val="32"/>
          <w:szCs w:val="32"/>
        </w:rPr>
        <w:t>推动日照银行在海落地。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</w:rPr>
        <w:t>牵头领导：曲延涛</w:t>
      </w:r>
      <w:r>
        <w:rPr>
          <w:rFonts w:ascii="楷体_GB2312" w:eastAsia="楷体_GB2312" w:hAnsi="楷体_GB2312" w:cs="楷体_GB2312" w:hint="eastAsia"/>
          <w:color w:val="000000"/>
          <w:sz w:val="32"/>
        </w:rPr>
        <w:t>；牵头单</w:t>
      </w:r>
      <w:r>
        <w:rPr>
          <w:rFonts w:ascii="楷体_GB2312" w:eastAsia="楷体_GB2312" w:hAnsi="楷体_GB2312" w:cs="楷体_GB2312" w:hint="eastAsia"/>
          <w:sz w:val="32"/>
        </w:rPr>
        <w:t>位：</w:t>
      </w:r>
      <w:r>
        <w:rPr>
          <w:rFonts w:ascii="楷体_GB2312" w:eastAsia="楷体_GB2312" w:hAnsi="楷体_GB2312" w:cs="楷体_GB2312" w:hint="eastAsia"/>
          <w:sz w:val="32"/>
        </w:rPr>
        <w:lastRenderedPageBreak/>
        <w:t>金融运行监测中心；配合单位：东村街道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</w:rPr>
      </w:pPr>
      <w:r>
        <w:rPr>
          <w:rFonts w:ascii="仿宋_GB2312" w:eastAsia="仿宋_GB2312" w:hint="eastAsia"/>
          <w:sz w:val="32"/>
          <w:szCs w:val="32"/>
        </w:rPr>
        <w:t>49.</w:t>
      </w:r>
      <w:r>
        <w:rPr>
          <w:rFonts w:ascii="仿宋_GB2312" w:eastAsia="仿宋_GB2312" w:hint="eastAsia"/>
          <w:sz w:val="32"/>
          <w:szCs w:val="32"/>
        </w:rPr>
        <w:t>健全落实项目融资机制，举办对接活动</w:t>
      </w:r>
      <w:r>
        <w:rPr>
          <w:rFonts w:ascii="仿宋_GB2312" w:eastAsia="仿宋_GB2312" w:hint="eastAsia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次以上。</w:t>
      </w: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</w:rPr>
        <w:t>牵头领导：曲延涛；牵头单位：金融运行监测中心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50.</w:t>
      </w:r>
      <w:r>
        <w:rPr>
          <w:rFonts w:ascii="仿宋_GB2312" w:eastAsia="仿宋_GB2312" w:hint="eastAsia"/>
          <w:sz w:val="32"/>
          <w:szCs w:val="32"/>
        </w:rPr>
        <w:t>用好“海阳政扶贷”“科创贷”等帮扶政策。</w:t>
      </w: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sz w:val="32"/>
          <w:szCs w:val="32"/>
        </w:rPr>
        <w:t>牵头领导：曲延涛；牵头单位：金融运行监测中心；配合单位：农业农村局、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科学技术局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（二）聚力开展“双招双引”工作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51.</w:t>
      </w:r>
      <w:r>
        <w:rPr>
          <w:rFonts w:ascii="仿宋_GB2312" w:eastAsia="仿宋_GB2312" w:hint="eastAsia"/>
          <w:color w:val="000000"/>
          <w:sz w:val="32"/>
          <w:szCs w:val="32"/>
        </w:rPr>
        <w:t>全年举办招商活动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次以上。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牵头领导：范晓鹏；牵头单位：投资促进中心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52.</w:t>
      </w:r>
      <w:r>
        <w:rPr>
          <w:rFonts w:ascii="仿宋_GB2312" w:eastAsia="仿宋_GB2312" w:hint="eastAsia"/>
          <w:color w:val="000000"/>
          <w:sz w:val="32"/>
          <w:szCs w:val="32"/>
        </w:rPr>
        <w:t>签约落地过</w:t>
      </w:r>
      <w:r>
        <w:rPr>
          <w:rFonts w:ascii="仿宋_GB2312" w:eastAsia="仿宋_GB2312" w:hint="eastAsia"/>
          <w:color w:val="000000"/>
          <w:sz w:val="32"/>
          <w:szCs w:val="32"/>
        </w:rPr>
        <w:t>5000</w:t>
      </w:r>
      <w:r>
        <w:rPr>
          <w:rFonts w:ascii="仿宋_GB2312" w:eastAsia="仿宋_GB2312" w:hint="eastAsia"/>
          <w:color w:val="000000"/>
          <w:sz w:val="32"/>
          <w:szCs w:val="32"/>
        </w:rPr>
        <w:t>万元项目</w:t>
      </w:r>
      <w:r>
        <w:rPr>
          <w:rFonts w:ascii="仿宋_GB2312" w:eastAsia="仿宋_GB2312" w:hint="eastAsia"/>
          <w:color w:val="000000"/>
          <w:sz w:val="32"/>
          <w:szCs w:val="32"/>
        </w:rPr>
        <w:t>16</w:t>
      </w:r>
      <w:r>
        <w:rPr>
          <w:rFonts w:ascii="仿宋_GB2312" w:eastAsia="仿宋_GB2312" w:hint="eastAsia"/>
          <w:color w:val="000000"/>
          <w:sz w:val="32"/>
          <w:szCs w:val="32"/>
        </w:rPr>
        <w:t>个以上。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牵头领导：范晓鹏；牵头单位：投资促进中心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53.</w:t>
      </w:r>
      <w:r>
        <w:rPr>
          <w:rFonts w:ascii="仿宋_GB2312" w:eastAsia="仿宋_GB2312" w:hint="eastAsia"/>
          <w:color w:val="000000"/>
          <w:sz w:val="32"/>
          <w:szCs w:val="32"/>
        </w:rPr>
        <w:t>推动丁字湾新型能源产业人才集聚区建设。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牵头领导：杨涛；牵头单位：市委组织部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54.</w:t>
      </w:r>
      <w:r>
        <w:rPr>
          <w:rFonts w:ascii="仿宋_GB2312" w:eastAsia="仿宋_GB2312" w:hint="eastAsia"/>
          <w:color w:val="000000"/>
          <w:sz w:val="32"/>
          <w:szCs w:val="32"/>
        </w:rPr>
        <w:t>年内自主培育领军人才</w:t>
      </w:r>
      <w:r>
        <w:rPr>
          <w:rFonts w:ascii="仿宋_GB2312" w:eastAsia="仿宋_GB2312" w:hint="eastAsia"/>
          <w:color w:val="000000"/>
          <w:sz w:val="32"/>
          <w:szCs w:val="32"/>
        </w:rPr>
        <w:t>20</w:t>
      </w:r>
      <w:r>
        <w:rPr>
          <w:rFonts w:ascii="仿宋_GB2312" w:eastAsia="仿宋_GB2312" w:hint="eastAsia"/>
          <w:color w:val="000000"/>
          <w:sz w:val="32"/>
          <w:szCs w:val="32"/>
        </w:rPr>
        <w:t>人以上，吸引集聚各类人才</w:t>
      </w:r>
      <w:r>
        <w:rPr>
          <w:rFonts w:ascii="仿宋_GB2312" w:eastAsia="仿宋_GB2312" w:hint="eastAsia"/>
          <w:color w:val="000000"/>
          <w:sz w:val="32"/>
          <w:szCs w:val="32"/>
        </w:rPr>
        <w:t>3000</w:t>
      </w:r>
      <w:r>
        <w:rPr>
          <w:rFonts w:ascii="仿宋_GB2312" w:eastAsia="仿宋_GB2312" w:hint="eastAsia"/>
          <w:color w:val="000000"/>
          <w:sz w:val="32"/>
          <w:szCs w:val="32"/>
        </w:rPr>
        <w:t>人以上。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牵头领导：杨涛、倪永妮；牵头单位：市委组织部、人力资源和社会保障局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（三）合力深耕科技创新沃土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55.</w:t>
      </w:r>
      <w:r>
        <w:rPr>
          <w:rFonts w:ascii="仿宋_GB2312" w:eastAsia="仿宋_GB2312" w:hint="eastAsia"/>
          <w:color w:val="000000"/>
          <w:sz w:val="32"/>
          <w:szCs w:val="32"/>
        </w:rPr>
        <w:t>谋划筹建科技企业孵化器。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56.</w:t>
      </w:r>
      <w:r>
        <w:rPr>
          <w:rFonts w:ascii="仿宋_GB2312" w:eastAsia="仿宋_GB2312" w:hint="eastAsia"/>
          <w:color w:val="000000"/>
          <w:sz w:val="32"/>
          <w:szCs w:val="32"/>
        </w:rPr>
        <w:t>新培育科技领军企业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57.</w:t>
      </w:r>
      <w:r>
        <w:rPr>
          <w:rFonts w:ascii="仿宋_GB2312" w:eastAsia="仿宋_GB2312" w:hint="eastAsia"/>
          <w:color w:val="000000"/>
          <w:sz w:val="32"/>
          <w:szCs w:val="32"/>
        </w:rPr>
        <w:t>新培育高新技术企业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牵头领导：姜雪；牵头单位：科学技术局；配合单位：税务局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58.</w:t>
      </w:r>
      <w:r>
        <w:rPr>
          <w:rFonts w:ascii="仿宋_GB2312" w:eastAsia="仿宋_GB2312" w:hint="eastAsia"/>
          <w:color w:val="000000"/>
          <w:sz w:val="32"/>
          <w:szCs w:val="32"/>
        </w:rPr>
        <w:t>新培育入库科技中小企业</w:t>
      </w:r>
      <w:r>
        <w:rPr>
          <w:rFonts w:ascii="仿宋_GB2312" w:eastAsia="仿宋_GB2312" w:hint="eastAsia"/>
          <w:color w:val="000000"/>
          <w:sz w:val="32"/>
          <w:szCs w:val="32"/>
        </w:rPr>
        <w:t>260</w:t>
      </w:r>
      <w:r>
        <w:rPr>
          <w:rFonts w:ascii="仿宋_GB2312" w:eastAsia="仿宋_GB2312" w:hint="eastAsia"/>
          <w:color w:val="000000"/>
          <w:sz w:val="32"/>
          <w:szCs w:val="32"/>
        </w:rPr>
        <w:t>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59.</w:t>
      </w:r>
      <w:r>
        <w:rPr>
          <w:rFonts w:ascii="仿宋_GB2312" w:eastAsia="仿宋_GB2312" w:hint="eastAsia"/>
          <w:color w:val="000000"/>
          <w:sz w:val="32"/>
          <w:szCs w:val="32"/>
        </w:rPr>
        <w:t>持续深化院企合作，组建东方航天港研究院科研团队。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60.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争取获得烟台市级以上科技攻关项目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个。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61.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新增科创平台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5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家。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牵头领导：姜雪；牵头单位：科学技术局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（四）强力拓展对外开放格局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62.</w:t>
      </w:r>
      <w:r>
        <w:rPr>
          <w:rFonts w:ascii="仿宋_GB2312" w:eastAsia="仿宋_GB2312" w:hint="eastAsia"/>
          <w:color w:val="000000"/>
          <w:sz w:val="32"/>
          <w:szCs w:val="32"/>
        </w:rPr>
        <w:t>生态东港项目水下工程完工。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牵头领导：丁伟；牵头单位：港航服务中心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63.G228</w:t>
      </w:r>
      <w:r>
        <w:rPr>
          <w:rFonts w:ascii="仿宋_GB2312" w:eastAsia="仿宋_GB2312" w:hint="eastAsia"/>
          <w:color w:val="000000"/>
          <w:sz w:val="32"/>
          <w:szCs w:val="32"/>
        </w:rPr>
        <w:t>丹东线东段全线贯通。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牵头领导：丁伟；牵头单位：公路建设养护中心；配合单位：核电园区、留格庄镇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64.G228</w:t>
      </w:r>
      <w:r>
        <w:rPr>
          <w:rFonts w:ascii="仿宋_GB2312" w:eastAsia="仿宋_GB2312" w:hint="eastAsia"/>
          <w:color w:val="000000"/>
          <w:sz w:val="32"/>
          <w:szCs w:val="32"/>
        </w:rPr>
        <w:t>丹东线西段开工建设。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牵头领导：丁伟；牵头单位：公路建设养护中心；配合单位：龙山街道、辛安镇、发展和改革局、财政局、自然资源和规划局、水利局、海洋发展和渔业局、生态环境局、应急管理局、交通运输局、文化和旅游局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65.</w:t>
      </w:r>
      <w:r>
        <w:rPr>
          <w:rFonts w:ascii="仿宋_GB2312" w:eastAsia="仿宋_GB2312" w:hint="eastAsia"/>
          <w:color w:val="000000"/>
          <w:sz w:val="32"/>
          <w:szCs w:val="32"/>
        </w:rPr>
        <w:t>组织企业参加各类国际展会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次以上。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牵头领导：范晓鹏；牵头单位：商务局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66.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依托东方航天港卫星数据“在轨交付”能力，加强商业航天领域“一带一路”海外合作，打通对外开放“线上”通道。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</w:t>
      </w:r>
      <w:r>
        <w:rPr>
          <w:rFonts w:ascii="楷体_GB2312" w:eastAsia="楷体_GB2312" w:hAnsi="楷体_GB2312" w:cs="楷体_GB2312" w:hint="eastAsia"/>
          <w:color w:val="000000"/>
          <w:sz w:val="32"/>
        </w:rPr>
        <w:t>；牵头单位：航空航天产业发展中心；配合单位：市政府办公室、市委宣传部、工业和信息化局、商务局、大数据服务中心、东方航天港集团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黑体" w:eastAsia="黑体" w:hAnsi="黑体" w:hint="eastAsia"/>
          <w:color w:val="000000"/>
          <w:sz w:val="32"/>
        </w:rPr>
        <w:t>四、以扩大内需为基点，更实举措推动经济增长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（一）促进投资有力有效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67.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倾力保障总投资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3467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亿元的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122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个海阳市级以上重点项目建设，力争年内完成投资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281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亿元。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68.</w:t>
      </w:r>
      <w:r>
        <w:rPr>
          <w:rFonts w:ascii="仿宋_GB2312" w:eastAsia="仿宋_GB2312" w:hint="eastAsia"/>
          <w:color w:val="000000"/>
          <w:sz w:val="32"/>
          <w:szCs w:val="32"/>
        </w:rPr>
        <w:t>深入开展“工业技改提级”行动，年内工业技改投资增长</w:t>
      </w:r>
      <w:r>
        <w:rPr>
          <w:rFonts w:ascii="仿宋_GB2312" w:eastAsia="仿宋_GB2312" w:hint="eastAsia"/>
          <w:color w:val="000000"/>
          <w:sz w:val="32"/>
          <w:szCs w:val="32"/>
        </w:rPr>
        <w:t>8%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牵头领导：范晓鹏；牵头单位：工业和信息化局；配合单位：各镇区街道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69.</w:t>
      </w:r>
      <w:r>
        <w:rPr>
          <w:rFonts w:ascii="仿宋_GB2312" w:eastAsia="仿宋_GB2312" w:hint="eastAsia"/>
          <w:color w:val="000000"/>
          <w:sz w:val="32"/>
          <w:szCs w:val="32"/>
        </w:rPr>
        <w:t>全年新增规上企业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家以上。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牵头领导：梁景俊、范晓鹏；牵头单位：发展和改革局、工业和信息化局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（二）促进消费扩容提质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70.</w:t>
      </w:r>
      <w:r>
        <w:rPr>
          <w:rFonts w:ascii="仿宋_GB2312" w:eastAsia="仿宋_GB2312" w:hint="eastAsia"/>
          <w:color w:val="000000"/>
          <w:sz w:val="32"/>
          <w:szCs w:val="32"/>
        </w:rPr>
        <w:t>围绕需求端发力，贯彻落实“大规模设备更新和消费品以旧换新”政策。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牵头领导：梁景俊；牵头单位：发展和改革局；配合单位：</w:t>
      </w:r>
      <w:r>
        <w:rPr>
          <w:rFonts w:ascii="楷体_GB2312" w:eastAsia="楷体_GB2312" w:hAnsi="楷体_GB2312" w:cs="楷体_GB2312" w:hint="eastAsia"/>
          <w:sz w:val="32"/>
        </w:rPr>
        <w:t>工业和信息化局、农业农村局、交通运输局、住房和城乡建设局、教育和体育局、文化和旅游局、卫生健康局、商务局、市场监督管理局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71.</w:t>
      </w:r>
      <w:r>
        <w:rPr>
          <w:rFonts w:ascii="Times New Roman" w:eastAsia="仿宋_GB2312" w:hAnsi="Times New Roman" w:hint="eastAsia"/>
          <w:sz w:val="32"/>
          <w:szCs w:val="40"/>
        </w:rPr>
        <w:t>举办啤酒节、音乐节等促消费活动</w:t>
      </w:r>
      <w:r>
        <w:rPr>
          <w:rFonts w:ascii="Times New Roman" w:eastAsia="仿宋_GB2312" w:hAnsi="Times New Roman" w:hint="eastAsia"/>
          <w:sz w:val="32"/>
          <w:szCs w:val="40"/>
        </w:rPr>
        <w:t>6</w:t>
      </w:r>
      <w:r>
        <w:rPr>
          <w:rFonts w:ascii="Times New Roman" w:eastAsia="仿宋_GB2312" w:hAnsi="Times New Roman" w:hint="eastAsia"/>
          <w:sz w:val="32"/>
          <w:szCs w:val="40"/>
        </w:rPr>
        <w:t>场以上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牵头领导：倪永妮；牵头单位：文化和旅游局；配合单位：旅游度假区、凤城街道、商务局、航空航天产业服务中心、</w:t>
      </w:r>
      <w:r>
        <w:rPr>
          <w:rFonts w:ascii="楷体_GB2312" w:eastAsia="楷体_GB2312" w:hAnsi="楷体_GB2312" w:cs="楷体_GB2312" w:hint="eastAsia"/>
          <w:sz w:val="32"/>
        </w:rPr>
        <w:t>文化旅游发展集团、</w:t>
      </w:r>
      <w:r>
        <w:rPr>
          <w:rFonts w:ascii="楷体_GB2312" w:eastAsia="楷体_GB2312" w:hAnsi="楷体_GB2312" w:cs="楷体_GB2312" w:hint="eastAsia"/>
          <w:color w:val="000000"/>
          <w:sz w:val="32"/>
        </w:rPr>
        <w:t>东</w:t>
      </w:r>
      <w:r>
        <w:rPr>
          <w:rFonts w:ascii="楷体_GB2312" w:eastAsia="楷体_GB2312" w:hAnsi="楷体_GB2312" w:cs="楷体_GB2312" w:hint="eastAsia"/>
          <w:color w:val="000000"/>
          <w:sz w:val="32"/>
        </w:rPr>
        <w:t>方航天港集团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72.</w:t>
      </w:r>
      <w:r>
        <w:rPr>
          <w:rFonts w:ascii="仿宋_GB2312" w:eastAsia="仿宋_GB2312" w:hint="eastAsia"/>
          <w:color w:val="000000"/>
          <w:sz w:val="32"/>
          <w:szCs w:val="32"/>
        </w:rPr>
        <w:t>打造海景路夜游消费新场景。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牵头领导：范晓鹏；牵头单位：旅游度假区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73.</w:t>
      </w:r>
      <w:r>
        <w:rPr>
          <w:rFonts w:ascii="仿宋_GB2312" w:eastAsia="仿宋_GB2312" w:hint="eastAsia"/>
          <w:color w:val="000000"/>
          <w:sz w:val="32"/>
          <w:szCs w:val="32"/>
        </w:rPr>
        <w:t>全年新增限上批零住餐单位</w:t>
      </w:r>
      <w:r>
        <w:rPr>
          <w:rFonts w:ascii="仿宋_GB2312" w:eastAsia="仿宋_GB2312" w:hint="eastAsia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牵头领导：范晓鹏；牵头单位：商务局）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74.</w:t>
      </w:r>
      <w:r>
        <w:rPr>
          <w:rFonts w:ascii="仿宋_GB2312" w:eastAsia="仿宋_GB2312" w:hint="eastAsia"/>
          <w:color w:val="000000"/>
          <w:sz w:val="32"/>
          <w:szCs w:val="32"/>
        </w:rPr>
        <w:t>推动海阳智慧物流集转运一体化项目落地。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牵头领导：丁伟；牵头单位：交通运输局；配合单位：碧城区、商务局、国有资本运营集团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75.</w:t>
      </w:r>
      <w:r>
        <w:rPr>
          <w:rFonts w:ascii="仿宋_GB2312" w:eastAsia="仿宋_GB2312" w:hint="eastAsia"/>
          <w:color w:val="000000"/>
          <w:sz w:val="32"/>
          <w:szCs w:val="32"/>
        </w:rPr>
        <w:t>全年网络零售额突破</w:t>
      </w:r>
      <w:r>
        <w:rPr>
          <w:rFonts w:ascii="仿宋_GB2312" w:eastAsia="仿宋_GB2312" w:hint="eastAsia"/>
          <w:color w:val="000000"/>
          <w:sz w:val="32"/>
          <w:szCs w:val="32"/>
        </w:rPr>
        <w:t>36</w:t>
      </w:r>
      <w:r>
        <w:rPr>
          <w:rFonts w:ascii="仿宋_GB2312" w:eastAsia="仿宋_GB2312" w:hint="eastAsia"/>
          <w:color w:val="000000"/>
          <w:sz w:val="32"/>
          <w:szCs w:val="32"/>
        </w:rPr>
        <w:t>亿元。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牵头领导：范晓鹏；牵头单位：商务局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（三）促进文化旅游融合发展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76.</w:t>
      </w:r>
      <w:r>
        <w:rPr>
          <w:rFonts w:ascii="仿宋_GB2312" w:eastAsia="仿宋_GB2312" w:hint="eastAsia"/>
          <w:color w:val="000000"/>
          <w:sz w:val="32"/>
          <w:szCs w:val="32"/>
        </w:rPr>
        <w:t>规划建设非遗工坊</w:t>
      </w:r>
      <w:r>
        <w:rPr>
          <w:rFonts w:ascii="仿宋_GB2312" w:eastAsia="仿宋_GB2312" w:hint="eastAsia"/>
          <w:color w:val="000000"/>
          <w:sz w:val="32"/>
          <w:szCs w:val="32"/>
        </w:rPr>
        <w:t>6</w:t>
      </w:r>
      <w:r>
        <w:rPr>
          <w:rFonts w:ascii="仿宋_GB2312" w:eastAsia="仿宋_GB2312" w:hint="eastAsia"/>
          <w:color w:val="000000"/>
          <w:sz w:val="32"/>
          <w:szCs w:val="32"/>
        </w:rPr>
        <w:t>处。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牵头领导：倪永妮；牵头单位：文化和旅游局；配合单位：人力资源和社会保障局、乡村振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兴局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77.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开展大秧歌、螳螂拳等文化活动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800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场。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牵头领导：倪永妮；牵头单位：文化和旅游局；配合单位：各镇区街道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78.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开展送戏下乡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150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场。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牵头领导：倪永妮；牵头单位：文化和旅游局；配合单位：各镇区街道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sz w:val="32"/>
          <w:szCs w:val="40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79.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丰富东方航天港科普馆内涵，争创国家生态环境科普基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地。</w:t>
      </w:r>
      <w:r>
        <w:rPr>
          <w:rFonts w:ascii="楷体_GB2312" w:eastAsia="楷体_GB2312" w:hAnsi="Times New Roman" w:hint="eastAsia"/>
          <w:sz w:val="32"/>
          <w:szCs w:val="40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牵头领导：丁伟；牵头单位：生态环境局；配合单位：东方航天港集团</w:t>
      </w:r>
      <w:r>
        <w:rPr>
          <w:rFonts w:ascii="楷体_GB2312" w:eastAsia="楷体_GB2312" w:hAnsi="Times New Roman" w:hint="eastAsia"/>
          <w:sz w:val="32"/>
          <w:szCs w:val="40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sz w:val="32"/>
          <w:szCs w:val="40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80.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中核山东科技馆具备运营条件。</w:t>
      </w:r>
      <w:r>
        <w:rPr>
          <w:rFonts w:ascii="楷体_GB2312" w:eastAsia="楷体_GB2312" w:hAnsi="Times New Roman" w:hint="eastAsia"/>
          <w:sz w:val="32"/>
          <w:szCs w:val="40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牵头领导：梁景俊、姜雪；牵头单位：清洁能源产业服务中心、凤城街道</w:t>
      </w:r>
      <w:r>
        <w:rPr>
          <w:rFonts w:ascii="楷体_GB2312" w:eastAsia="楷体_GB2312" w:hAnsi="Times New Roman" w:hint="eastAsia"/>
          <w:sz w:val="32"/>
          <w:szCs w:val="40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（四）促进赛事经济活力迸发</w:t>
      </w:r>
    </w:p>
    <w:p w:rsidR="00B33836" w:rsidRDefault="00206151">
      <w:pPr>
        <w:spacing w:line="600" w:lineRule="exact"/>
        <w:ind w:firstLineChars="200" w:firstLine="640"/>
        <w:rPr>
          <w:rFonts w:ascii="黑体" w:eastAsia="黑体" w:hAnsi="黑体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81.</w:t>
      </w:r>
      <w:r>
        <w:rPr>
          <w:rFonts w:ascii="仿宋_GB2312" w:eastAsia="仿宋_GB2312" w:hint="eastAsia"/>
          <w:color w:val="000000"/>
          <w:sz w:val="32"/>
          <w:szCs w:val="32"/>
        </w:rPr>
        <w:t>高质量办好海阳马拉松、全国沙滩排球巡回赛、全国露营大会等</w:t>
      </w:r>
      <w:r>
        <w:rPr>
          <w:rFonts w:ascii="仿宋_GB2312" w:eastAsia="仿宋_GB2312" w:hint="eastAsia"/>
          <w:color w:val="000000"/>
          <w:sz w:val="32"/>
          <w:szCs w:val="32"/>
        </w:rPr>
        <w:t>7</w:t>
      </w:r>
      <w:r>
        <w:rPr>
          <w:rFonts w:ascii="仿宋_GB2312" w:eastAsia="仿宋_GB2312" w:hint="eastAsia"/>
          <w:color w:val="000000"/>
          <w:sz w:val="32"/>
          <w:szCs w:val="32"/>
        </w:rPr>
        <w:t>项重点赛事。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牵头领导：倪永妮；牵头单位：体育运动服务中心；配合单位：</w:t>
      </w:r>
      <w:r>
        <w:rPr>
          <w:rFonts w:ascii="楷体_GB2312" w:eastAsia="楷体_GB2312" w:hAnsi="楷体_GB2312" w:cs="楷体_GB2312" w:hint="eastAsia"/>
          <w:sz w:val="32"/>
        </w:rPr>
        <w:t>文化旅游发展集团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</w:rPr>
        <w:t>五、以建管并重为策略，更高标准实施城市更新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（一）高质量推进城市开发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82.</w:t>
      </w:r>
      <w:r>
        <w:rPr>
          <w:rFonts w:ascii="Times New Roman" w:eastAsia="仿宋_GB2312" w:hAnsi="Times New Roman" w:hint="eastAsia"/>
          <w:sz w:val="32"/>
          <w:szCs w:val="40"/>
        </w:rPr>
        <w:t>科学编制中心城区规划，全面加强城市空间管理。</w:t>
      </w:r>
      <w:r>
        <w:rPr>
          <w:rFonts w:ascii="楷体_GB2312" w:eastAsia="楷体_GB2312" w:hAnsi="Times New Roman" w:hint="eastAsia"/>
          <w:sz w:val="32"/>
          <w:szCs w:val="40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牵头领导：丁伟；牵头单位：自然资源和规划局；配合单位：住房和城乡建设局</w:t>
      </w:r>
      <w:r>
        <w:rPr>
          <w:rFonts w:ascii="楷体_GB2312" w:eastAsia="楷体_GB2312" w:hAnsi="Times New Roman" w:hint="eastAsia"/>
          <w:sz w:val="32"/>
          <w:szCs w:val="40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83.</w:t>
      </w:r>
      <w:r>
        <w:rPr>
          <w:rFonts w:ascii="仿宋_GB2312" w:eastAsia="仿宋_GB2312" w:hint="eastAsia"/>
          <w:color w:val="000000"/>
          <w:sz w:val="32"/>
          <w:szCs w:val="32"/>
        </w:rPr>
        <w:t>稳步推进海东路、和平等示范片区建设。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牵头领导：丁伟；牵头单位：住房和城乡建设局；配合单位：东村街道、方圆街道、自然资源和规划局、财政局、农业农村局、行政审批服务局、昊海城建集团、文化旅游发展集团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84.</w:t>
      </w:r>
      <w:r>
        <w:rPr>
          <w:rFonts w:ascii="仿宋_GB2312" w:eastAsia="仿宋_GB2312" w:hint="eastAsia"/>
          <w:color w:val="000000"/>
          <w:sz w:val="32"/>
          <w:szCs w:val="32"/>
        </w:rPr>
        <w:t>实施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个区域的城中村改造。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牵头领导：丁伟；牵头单位：住房和城乡建设局；配合单位：东村街道、方圆街道、自然资源和规划局、财政局、昊海城建集团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85.</w:t>
      </w:r>
      <w:r>
        <w:rPr>
          <w:rFonts w:ascii="仿宋_GB2312" w:eastAsia="仿宋_GB2312" w:hint="eastAsia"/>
          <w:color w:val="000000"/>
          <w:sz w:val="32"/>
          <w:szCs w:val="32"/>
        </w:rPr>
        <w:t>创建高品质住宅试点</w:t>
      </w:r>
      <w:r>
        <w:rPr>
          <w:rFonts w:ascii="仿宋_GB2312" w:eastAsia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hint="eastAsia"/>
          <w:color w:val="000000"/>
          <w:sz w:val="32"/>
          <w:szCs w:val="32"/>
        </w:rPr>
        <w:t>个以上。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单位：住房和城乡建设局；配合单位：财政局、自然资源和规划局、行政审批服务局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86.</w:t>
      </w:r>
      <w:r>
        <w:rPr>
          <w:rFonts w:ascii="Times New Roman" w:eastAsia="仿宋_GB2312" w:hAnsi="Times New Roman" w:hint="eastAsia"/>
          <w:sz w:val="32"/>
          <w:szCs w:val="40"/>
        </w:rPr>
        <w:t>力争全年实现房地产投资</w:t>
      </w:r>
      <w:r>
        <w:rPr>
          <w:rFonts w:ascii="Times New Roman" w:eastAsia="仿宋_GB2312" w:hAnsi="Times New Roman" w:hint="eastAsia"/>
          <w:sz w:val="32"/>
          <w:szCs w:val="40"/>
        </w:rPr>
        <w:t>15</w:t>
      </w:r>
      <w:r>
        <w:rPr>
          <w:rFonts w:ascii="Times New Roman" w:eastAsia="仿宋_GB2312" w:hAnsi="Times New Roman" w:hint="eastAsia"/>
          <w:sz w:val="32"/>
          <w:szCs w:val="40"/>
        </w:rPr>
        <w:t>亿元，新建楼盘</w:t>
      </w:r>
      <w:r>
        <w:rPr>
          <w:rFonts w:ascii="Times New Roman" w:eastAsia="仿宋_GB2312" w:hAnsi="Times New Roman" w:hint="eastAsia"/>
          <w:sz w:val="32"/>
          <w:szCs w:val="40"/>
        </w:rPr>
        <w:t>80</w:t>
      </w:r>
      <w:r>
        <w:rPr>
          <w:rFonts w:ascii="Times New Roman" w:eastAsia="仿宋_GB2312" w:hAnsi="Times New Roman" w:hint="eastAsia"/>
          <w:sz w:val="32"/>
          <w:szCs w:val="40"/>
        </w:rPr>
        <w:t>万平米。</w:t>
      </w:r>
      <w:r>
        <w:rPr>
          <w:rFonts w:ascii="楷体_GB2312" w:eastAsia="楷体_GB2312" w:hAnsi="Times New Roman" w:hint="eastAsia"/>
          <w:sz w:val="32"/>
          <w:szCs w:val="40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导：丁伟；牵头单位：住房和城乡建设局</w:t>
      </w:r>
      <w:r>
        <w:rPr>
          <w:rFonts w:ascii="楷体_GB2312" w:eastAsia="楷体_GB2312" w:hAnsi="Times New Roman" w:hint="eastAsia"/>
          <w:sz w:val="32"/>
          <w:szCs w:val="40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Times New Roman" w:eastAsia="仿宋_GB2312" w:hAnsi="Times New Roman"/>
          <w:sz w:val="32"/>
          <w:szCs w:val="40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（二）高水平提升城市基础配套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87.</w:t>
      </w:r>
      <w:r>
        <w:rPr>
          <w:rFonts w:ascii="仿宋_GB2312" w:eastAsia="仿宋_GB2312" w:hint="eastAsia"/>
          <w:color w:val="000000"/>
          <w:sz w:val="32"/>
          <w:szCs w:val="32"/>
        </w:rPr>
        <w:t>实施度假区及城南排洪沟改造市政工程。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牵头领导：丁伟、范晓鹏；牵头单位：旅游度假区、住房和城乡建设局；配合单位：凤城街道、方圆街道、财政局、水利局、自然资源和规划局、文化旅游发展集团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88.</w:t>
      </w:r>
      <w:r>
        <w:rPr>
          <w:rFonts w:ascii="仿宋_GB2312" w:eastAsia="仿宋_GB2312" w:hint="eastAsia"/>
          <w:color w:val="000000"/>
          <w:sz w:val="32"/>
          <w:szCs w:val="32"/>
        </w:rPr>
        <w:t>实施海东路东延市政工程。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牵头领导：丁伟；牵头单位：住房和城乡建设局；配合单位：方圆街道、自然资源和规划局、文化旅游发展集团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89.</w:t>
      </w:r>
      <w:r>
        <w:rPr>
          <w:rFonts w:ascii="仿宋_GB2312" w:eastAsia="仿宋_GB2312" w:hint="eastAsia"/>
          <w:color w:val="000000"/>
          <w:sz w:val="32"/>
          <w:szCs w:val="32"/>
        </w:rPr>
        <w:t>实施海阳路过街天桥市政工程。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牵头领导：丁伟；牵头单位：住房和城乡建设局；配合单位：方圆街道、财政局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90.</w:t>
      </w:r>
      <w:r>
        <w:rPr>
          <w:rFonts w:ascii="仿宋_GB2312" w:eastAsia="仿宋_GB2312" w:hint="eastAsia"/>
          <w:color w:val="000000"/>
          <w:sz w:val="32"/>
          <w:szCs w:val="32"/>
        </w:rPr>
        <w:t>新增供暖配套面积</w:t>
      </w:r>
      <w:r>
        <w:rPr>
          <w:rFonts w:ascii="仿宋_GB2312" w:eastAsia="仿宋_GB2312" w:hint="eastAsia"/>
          <w:color w:val="000000"/>
          <w:sz w:val="32"/>
          <w:szCs w:val="32"/>
        </w:rPr>
        <w:t>12</w:t>
      </w:r>
      <w:r>
        <w:rPr>
          <w:rFonts w:ascii="仿宋_GB2312" w:eastAsia="仿宋_GB2312" w:hint="eastAsia"/>
          <w:color w:val="000000"/>
          <w:sz w:val="32"/>
          <w:szCs w:val="32"/>
        </w:rPr>
        <w:t>万平米。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91.</w:t>
      </w:r>
      <w:r>
        <w:rPr>
          <w:rFonts w:ascii="仿宋_GB2312" w:eastAsia="仿宋_GB2312" w:hint="eastAsia"/>
          <w:color w:val="000000"/>
          <w:sz w:val="32"/>
          <w:szCs w:val="32"/>
        </w:rPr>
        <w:t>新建投用高压变电站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座。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牵头领导：梁景俊；牵头单位：供电公司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（三）高规格优化城市管理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92.</w:t>
      </w:r>
      <w:r>
        <w:rPr>
          <w:rFonts w:ascii="仿宋_GB2312" w:eastAsia="仿宋_GB2312" w:hint="eastAsia"/>
          <w:color w:val="000000"/>
          <w:sz w:val="32"/>
          <w:szCs w:val="32"/>
        </w:rPr>
        <w:t>建设城市运行管理服务平台。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牵头领导：倪永妮；牵头单位：城市运行中心；配合单位：大数据服务中心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93.</w:t>
      </w:r>
      <w:r>
        <w:rPr>
          <w:rFonts w:ascii="仿宋_GB2312" w:eastAsia="仿宋_GB2312" w:hint="eastAsia"/>
          <w:color w:val="000000"/>
          <w:sz w:val="32"/>
          <w:szCs w:val="32"/>
        </w:rPr>
        <w:t>开展智慧社区提升试点。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牵头领导：梁景俊；牵头单位：大数据服务中心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楷体_GB2312" w:cs="楷体_GB2312"/>
          <w:color w:val="000000"/>
          <w:sz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94.</w:t>
      </w:r>
      <w:r>
        <w:rPr>
          <w:rFonts w:ascii="仿宋_GB2312" w:eastAsia="仿宋_GB2312" w:hint="eastAsia"/>
          <w:color w:val="000000"/>
          <w:sz w:val="32"/>
          <w:szCs w:val="32"/>
        </w:rPr>
        <w:t>加大占道经营、户外广告等管控力度，促进城市管理提档升级。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牵头领导：丁伟；牵头单位：住房和城乡建设局；配合单位：行政审批服务局、各镇区街道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95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定期发布物业服务“红黑榜”，进一步提升物业企业服务质量。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（四）高标准推动生态环境保护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96.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推进海洋生态保护修复工程，全年完成修复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132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亩。</w:t>
      </w:r>
      <w:r>
        <w:rPr>
          <w:rFonts w:ascii="楷体_GB2312" w:eastAsia="楷体_GB2312" w:hAnsi="楷体_GB2312" w:cs="楷体_GB2312" w:hint="eastAsia"/>
          <w:color w:val="000000"/>
          <w:sz w:val="32"/>
        </w:rPr>
        <w:t>（牵头领导：刘晓玮；牵头单位：海洋发展和渔业局；配合单位：核电园区、旅游度假区、凤城街道、龙山街道、财政局、住房和城乡建设局、自然资源和规划局、生态环境局、港航服务中心、海事处）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97.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海阳岸段争创省级美丽海湾。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生态环境局；配合单位：海洋发展和渔业局、住房和城乡建设局、自然资源和规划局、林业局、应急管理局、港航服务中心、文化和旅游局、发展和改革局、财政局、工业和信息化局、海事处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98.</w:t>
      </w:r>
      <w:r>
        <w:rPr>
          <w:rFonts w:ascii="仿宋_GB2312" w:eastAsia="仿宋_GB2312" w:hint="eastAsia"/>
          <w:sz w:val="32"/>
          <w:szCs w:val="32"/>
        </w:rPr>
        <w:t>加快实施“生态环境导向的开发项目”。</w:t>
      </w:r>
      <w:r>
        <w:rPr>
          <w:rFonts w:ascii="楷体_GB2312" w:eastAsia="楷体_GB2312" w:hint="eastAsia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</w:t>
      </w:r>
      <w:r>
        <w:rPr>
          <w:rFonts w:ascii="楷体_GB2312" w:eastAsia="楷体_GB2312" w:hAnsi="楷体_GB2312" w:cs="楷体_GB2312" w:hint="eastAsia"/>
          <w:sz w:val="32"/>
        </w:rPr>
        <w:t>牵头单位：生态环境局；配合单位：</w:t>
      </w:r>
      <w:r>
        <w:rPr>
          <w:rFonts w:ascii="楷体_GB2312" w:eastAsia="楷体_GB2312" w:hAnsi="楷体_GB2312" w:cs="楷体_GB2312" w:hint="eastAsia"/>
          <w:color w:val="000000"/>
          <w:sz w:val="32"/>
        </w:rPr>
        <w:t>住房和城乡建设局、水利局、农业农村局、自然资源和规划局、发展和改革局、林业局、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海洋发展和渔业局、市场监督管理局、公安局、文化和旅游局、招虎山管理服务中心、消防大队、供电公司、文化旅游发展集团、各镇区街道</w:t>
      </w:r>
      <w:r>
        <w:rPr>
          <w:rFonts w:ascii="楷体_GB2312" w:eastAsia="楷体_GB2312" w:hint="eastAsia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99.</w:t>
      </w:r>
      <w:r>
        <w:rPr>
          <w:rFonts w:ascii="仿宋_GB2312" w:eastAsia="仿宋_GB2312" w:hint="eastAsia"/>
          <w:color w:val="000000"/>
          <w:sz w:val="32"/>
          <w:szCs w:val="32"/>
        </w:rPr>
        <w:t>完成嵩潜污</w:t>
      </w:r>
      <w:r>
        <w:rPr>
          <w:rFonts w:ascii="仿宋_GB2312" w:eastAsia="仿宋_GB2312" w:hint="eastAsia"/>
          <w:color w:val="000000"/>
          <w:sz w:val="32"/>
          <w:szCs w:val="32"/>
        </w:rPr>
        <w:t>水厂建设。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牵头领导：丁伟；牵头单位：住房和城乡建设局；配合单位：碧城区、昊海城建集团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100.</w:t>
      </w:r>
      <w:r>
        <w:rPr>
          <w:rFonts w:ascii="仿宋_GB2312" w:eastAsia="仿宋_GB2312" w:hint="eastAsia"/>
          <w:color w:val="000000"/>
          <w:sz w:val="32"/>
          <w:szCs w:val="32"/>
        </w:rPr>
        <w:t>开</w:t>
      </w:r>
      <w:r>
        <w:rPr>
          <w:rFonts w:ascii="Times New Roman" w:eastAsia="仿宋_GB2312" w:hAnsi="Times New Roman" w:hint="eastAsia"/>
          <w:sz w:val="32"/>
          <w:szCs w:val="32"/>
        </w:rPr>
        <w:t>展白沙河、纪疃河全流域综合治理。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牵头领导：刘晓玮；牵头单位：水利局；配合单位：</w:t>
      </w:r>
      <w:r>
        <w:rPr>
          <w:rFonts w:ascii="楷体_GB2312" w:eastAsia="楷体_GB2312" w:hAnsi="楷体_GB2312" w:cs="楷体_GB2312" w:hint="eastAsia"/>
          <w:sz w:val="32"/>
        </w:rPr>
        <w:t>海昇矿产集团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</w:rPr>
        <w:t>六、以强农富农为目标，更深层次推动乡村振兴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（一）守牢耕地保护红线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101.</w:t>
      </w:r>
      <w:r>
        <w:rPr>
          <w:rFonts w:ascii="仿宋_GB2312" w:eastAsia="仿宋_GB2312" w:hint="eastAsia"/>
          <w:color w:val="000000"/>
          <w:sz w:val="32"/>
          <w:szCs w:val="32"/>
        </w:rPr>
        <w:t>全年整治撂荒地</w:t>
      </w:r>
      <w:r>
        <w:rPr>
          <w:rFonts w:ascii="仿宋_GB2312" w:eastAsia="仿宋_GB2312" w:hint="eastAsia"/>
          <w:color w:val="000000"/>
          <w:sz w:val="32"/>
          <w:szCs w:val="32"/>
        </w:rPr>
        <w:t>7400</w:t>
      </w:r>
      <w:r>
        <w:rPr>
          <w:rFonts w:ascii="仿宋_GB2312" w:eastAsia="仿宋_GB2312" w:hint="eastAsia"/>
          <w:color w:val="000000"/>
          <w:sz w:val="32"/>
          <w:szCs w:val="32"/>
        </w:rPr>
        <w:t>亩。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牵头领导：刘晓玮；牵头单位：农业农村局；配合单位：各镇区街道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102.</w:t>
      </w:r>
      <w:r>
        <w:rPr>
          <w:rFonts w:ascii="仿宋_GB2312" w:eastAsia="仿宋_GB2312" w:hint="eastAsia"/>
          <w:color w:val="000000"/>
          <w:sz w:val="32"/>
          <w:szCs w:val="32"/>
        </w:rPr>
        <w:t>建成高标准农田</w:t>
      </w:r>
      <w:r>
        <w:rPr>
          <w:rFonts w:ascii="仿宋_GB2312" w:eastAsia="仿宋_GB2312" w:hint="eastAsia"/>
          <w:color w:val="000000"/>
          <w:sz w:val="32"/>
          <w:szCs w:val="32"/>
        </w:rPr>
        <w:t>5000</w:t>
      </w:r>
      <w:r>
        <w:rPr>
          <w:rFonts w:ascii="仿宋_GB2312" w:eastAsia="仿宋_GB2312" w:hint="eastAsia"/>
          <w:color w:val="000000"/>
          <w:sz w:val="32"/>
          <w:szCs w:val="32"/>
        </w:rPr>
        <w:t>亩。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牵头领导：刘晓玮；牵头单位：农业农村局；配合单位：</w:t>
      </w:r>
      <w:r>
        <w:rPr>
          <w:rFonts w:ascii="楷体_GB2312" w:eastAsia="楷体_GB2312" w:hAnsi="楷体_GB2312" w:cs="楷体_GB2312" w:hint="eastAsia"/>
          <w:sz w:val="32"/>
        </w:rPr>
        <w:t>现代农业发展集团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103.</w:t>
      </w:r>
      <w:r>
        <w:rPr>
          <w:rFonts w:ascii="仿宋_GB2312" w:eastAsia="仿宋_GB2312" w:hint="eastAsia"/>
          <w:color w:val="000000"/>
          <w:sz w:val="32"/>
          <w:szCs w:val="32"/>
        </w:rPr>
        <w:t>全年粮食播种面积</w:t>
      </w:r>
      <w:r>
        <w:rPr>
          <w:rFonts w:ascii="仿宋_GB2312" w:eastAsia="仿宋_GB2312" w:hint="eastAsia"/>
          <w:color w:val="000000"/>
          <w:sz w:val="32"/>
          <w:szCs w:val="32"/>
        </w:rPr>
        <w:t>76</w:t>
      </w:r>
      <w:r>
        <w:rPr>
          <w:rFonts w:ascii="仿宋_GB2312" w:eastAsia="仿宋_GB2312" w:hint="eastAsia"/>
          <w:color w:val="000000"/>
          <w:sz w:val="32"/>
          <w:szCs w:val="32"/>
        </w:rPr>
        <w:t>万亩、产量</w:t>
      </w:r>
      <w:r>
        <w:rPr>
          <w:rFonts w:ascii="仿宋_GB2312" w:eastAsia="仿宋_GB2312" w:hint="eastAsia"/>
          <w:color w:val="000000"/>
          <w:sz w:val="32"/>
          <w:szCs w:val="32"/>
        </w:rPr>
        <w:t>30</w:t>
      </w:r>
      <w:r>
        <w:rPr>
          <w:rFonts w:ascii="仿宋_GB2312" w:eastAsia="仿宋_GB2312" w:hint="eastAsia"/>
          <w:color w:val="000000"/>
          <w:sz w:val="32"/>
          <w:szCs w:val="32"/>
        </w:rPr>
        <w:t>万吨，实现稳产丰产。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（二）发展特色农业产业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104.</w:t>
      </w:r>
      <w:r>
        <w:rPr>
          <w:rFonts w:ascii="仿宋_GB2312" w:eastAsia="仿宋_GB2312" w:hint="eastAsia"/>
          <w:color w:val="000000"/>
          <w:sz w:val="32"/>
          <w:szCs w:val="32"/>
        </w:rPr>
        <w:t>创建大樱桃新品种集成创新园。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牵头领导：倪永妮；牵头单位：朱吴镇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105.</w:t>
      </w:r>
      <w:r>
        <w:rPr>
          <w:rFonts w:ascii="仿宋_GB2312" w:eastAsia="仿宋_GB2312" w:hint="eastAsia"/>
          <w:color w:val="000000"/>
          <w:sz w:val="32"/>
          <w:szCs w:val="32"/>
        </w:rPr>
        <w:t>打造</w:t>
      </w:r>
      <w:r>
        <w:rPr>
          <w:rFonts w:ascii="仿宋_GB2312" w:eastAsia="仿宋_GB2312" w:hint="eastAsia"/>
          <w:color w:val="000000"/>
          <w:sz w:val="32"/>
          <w:szCs w:val="32"/>
        </w:rPr>
        <w:t>8</w:t>
      </w:r>
      <w:r>
        <w:rPr>
          <w:rFonts w:ascii="仿宋_GB2312" w:eastAsia="仿宋_GB2312" w:hint="eastAsia"/>
          <w:color w:val="000000"/>
          <w:sz w:val="32"/>
          <w:szCs w:val="32"/>
        </w:rPr>
        <w:t>处苹果示范园。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牵头领导：刘晓玮；牵头单位：果业发展服务中心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106.</w:t>
      </w:r>
      <w:r>
        <w:rPr>
          <w:rFonts w:ascii="仿宋_GB2312" w:eastAsia="仿宋_GB2312" w:hint="eastAsia"/>
          <w:color w:val="000000"/>
          <w:sz w:val="32"/>
          <w:szCs w:val="32"/>
        </w:rPr>
        <w:t>建设中心渔港生蚝加工产业园。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牵头单位：海洋发展和渔业局；配合单位：核电园区、自然资源和规划局、发展和改革局、行政审批服务局、住房和城乡建设管理局、生态环境局、财政局、工业和信息化局、供电公司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107</w:t>
      </w:r>
      <w:r>
        <w:rPr>
          <w:rFonts w:ascii="仿宋_GB2312" w:eastAsia="仿宋_GB2312" w:hint="eastAsia"/>
          <w:color w:val="000000"/>
          <w:sz w:val="32"/>
          <w:szCs w:val="32"/>
        </w:rPr>
        <w:t>.</w:t>
      </w:r>
      <w:r>
        <w:rPr>
          <w:rFonts w:ascii="仿宋_GB2312" w:eastAsia="仿宋_GB2312" w:hint="eastAsia"/>
          <w:color w:val="000000"/>
          <w:sz w:val="32"/>
          <w:szCs w:val="32"/>
        </w:rPr>
        <w:t>增殖放流苗种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亿单位。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牵头领导：刘晓玮；牵头单位：海洋发展和渔业局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108.</w:t>
      </w:r>
      <w:r>
        <w:rPr>
          <w:rFonts w:ascii="仿宋_GB2312" w:eastAsia="仿宋_GB2312" w:hint="eastAsia"/>
          <w:color w:val="000000"/>
          <w:sz w:val="32"/>
          <w:szCs w:val="32"/>
        </w:rPr>
        <w:t>创建省级智慧农业应用基地。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牵头领导：刘晓玮；牵头单位：农业农村局；配合单位：海洋发展和渔业局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109.</w:t>
      </w:r>
      <w:r>
        <w:rPr>
          <w:rFonts w:ascii="仿宋_GB2312" w:eastAsia="仿宋_GB2312" w:hint="eastAsia"/>
          <w:color w:val="000000"/>
          <w:sz w:val="32"/>
          <w:szCs w:val="32"/>
        </w:rPr>
        <w:t>培育烟台市级农民合作社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110.</w:t>
      </w:r>
      <w:r>
        <w:rPr>
          <w:rFonts w:ascii="仿宋_GB2312" w:eastAsia="仿宋_GB2312" w:hint="eastAsia"/>
          <w:color w:val="000000"/>
          <w:sz w:val="32"/>
          <w:szCs w:val="32"/>
        </w:rPr>
        <w:t>培育烟台市级家庭农场</w:t>
      </w:r>
      <w:r>
        <w:rPr>
          <w:rFonts w:ascii="仿宋_GB2312" w:eastAsia="仿宋_GB2312" w:hint="eastAsia"/>
          <w:color w:val="000000"/>
          <w:sz w:val="32"/>
          <w:szCs w:val="32"/>
        </w:rPr>
        <w:t>3</w:t>
      </w:r>
      <w:r>
        <w:rPr>
          <w:rFonts w:ascii="仿宋_GB2312" w:eastAsia="仿宋_GB2312" w:hint="eastAsia"/>
          <w:color w:val="000000"/>
          <w:sz w:val="32"/>
          <w:szCs w:val="32"/>
        </w:rPr>
        <w:t>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Times New Roman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（三）完善乡村基础设施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t>111.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加快中央彩票公益金项目实施。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牵头领导：刘晓玮；牵头单位：农业农村局、水利局；配合单位：凤城街道、小纪镇、财政局、自然资源和规划局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112.</w:t>
      </w:r>
      <w:r>
        <w:rPr>
          <w:rFonts w:ascii="仿宋_GB2312" w:eastAsia="仿宋_GB2312" w:hint="eastAsia"/>
          <w:color w:val="000000"/>
          <w:sz w:val="32"/>
          <w:szCs w:val="32"/>
        </w:rPr>
        <w:t>争创省级乡村振兴齐鲁样板示范区。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牵头领导：刘晓玮；牵头单位：农业农村局；配合单位：发城镇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113.</w:t>
      </w:r>
      <w:r>
        <w:rPr>
          <w:rFonts w:ascii="仿宋_GB2312" w:eastAsia="仿宋_GB2312" w:hAnsi="仿宋_GB2312" w:cs="仿宋_GB2312" w:hint="eastAsia"/>
          <w:sz w:val="32"/>
          <w:szCs w:val="40"/>
        </w:rPr>
        <w:t>新改建“四好农村路”</w:t>
      </w:r>
      <w:r>
        <w:rPr>
          <w:rFonts w:ascii="仿宋_GB2312" w:eastAsia="仿宋_GB2312" w:hAnsi="仿宋_GB2312" w:cs="仿宋_GB2312" w:hint="eastAsia"/>
          <w:sz w:val="32"/>
          <w:szCs w:val="40"/>
        </w:rPr>
        <w:t>25</w:t>
      </w:r>
      <w:r>
        <w:rPr>
          <w:rFonts w:ascii="仿宋_GB2312" w:eastAsia="仿宋_GB2312" w:hAnsi="仿宋_GB2312" w:cs="仿宋_GB2312" w:hint="eastAsia"/>
          <w:sz w:val="32"/>
          <w:szCs w:val="40"/>
        </w:rPr>
        <w:t>公里。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牵头领导：丁伟；牵头单位：交通运输局；配合单位：财政局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114.</w:t>
      </w:r>
      <w:r>
        <w:rPr>
          <w:rFonts w:ascii="仿宋_GB2312" w:eastAsia="仿宋_GB2312" w:hint="eastAsia"/>
          <w:color w:val="000000"/>
          <w:sz w:val="32"/>
          <w:szCs w:val="32"/>
        </w:rPr>
        <w:t>加快推进农村供水保障工程，年内规模化供水率达</w:t>
      </w:r>
      <w:r>
        <w:rPr>
          <w:rFonts w:ascii="仿宋_GB2312" w:eastAsia="仿宋_GB2312" w:hint="eastAsia"/>
          <w:color w:val="000000"/>
          <w:sz w:val="32"/>
          <w:szCs w:val="32"/>
        </w:rPr>
        <w:t>88%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牵头领导：刘晓玮；牵头单位：水利局、海发水务集团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115.</w:t>
      </w:r>
      <w:r>
        <w:rPr>
          <w:rFonts w:ascii="仿宋_GB2312" w:eastAsia="仿宋_GB2312" w:hint="eastAsia"/>
          <w:color w:val="000000"/>
          <w:sz w:val="32"/>
          <w:szCs w:val="32"/>
        </w:rPr>
        <w:t>开展小型水库除险加固</w:t>
      </w:r>
      <w:r>
        <w:rPr>
          <w:rFonts w:ascii="仿宋_GB2312" w:eastAsia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hint="eastAsia"/>
          <w:color w:val="000000"/>
          <w:sz w:val="32"/>
          <w:szCs w:val="32"/>
        </w:rPr>
        <w:t>座。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牵头领导：刘晓玮；牵头单位：水利局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116.</w:t>
      </w:r>
      <w:r>
        <w:rPr>
          <w:rFonts w:ascii="仿宋_GB2312" w:eastAsia="仿宋_GB2312" w:hint="eastAsia"/>
          <w:color w:val="000000"/>
          <w:sz w:val="32"/>
          <w:szCs w:val="32"/>
        </w:rPr>
        <w:t>新建改造电路</w:t>
      </w:r>
      <w:r>
        <w:rPr>
          <w:rFonts w:ascii="仿宋_GB2312" w:eastAsia="仿宋_GB2312" w:hint="eastAsia"/>
          <w:color w:val="000000"/>
          <w:sz w:val="32"/>
          <w:szCs w:val="32"/>
        </w:rPr>
        <w:t>136</w:t>
      </w:r>
      <w:r>
        <w:rPr>
          <w:rFonts w:ascii="仿宋_GB2312" w:eastAsia="仿宋_GB2312" w:hint="eastAsia"/>
          <w:color w:val="000000"/>
          <w:sz w:val="32"/>
          <w:szCs w:val="32"/>
        </w:rPr>
        <w:t>公里。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牵头领导：梁景俊；牵头单位：供电公司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117.</w:t>
      </w:r>
      <w:r>
        <w:rPr>
          <w:rFonts w:ascii="仿宋_GB2312" w:eastAsia="仿宋_GB2312" w:hint="eastAsia"/>
          <w:color w:val="000000"/>
          <w:sz w:val="32"/>
          <w:szCs w:val="32"/>
        </w:rPr>
        <w:t>增加变压器</w:t>
      </w:r>
      <w:r>
        <w:rPr>
          <w:rFonts w:ascii="仿宋_GB2312" w:eastAsia="仿宋_GB2312" w:hint="eastAsia"/>
          <w:color w:val="000000"/>
          <w:sz w:val="32"/>
          <w:szCs w:val="32"/>
        </w:rPr>
        <w:t>121</w:t>
      </w:r>
      <w:r>
        <w:rPr>
          <w:rFonts w:ascii="仿宋_GB2312" w:eastAsia="仿宋_GB2312" w:hint="eastAsia"/>
          <w:color w:val="000000"/>
          <w:sz w:val="32"/>
          <w:szCs w:val="32"/>
        </w:rPr>
        <w:t>台。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头单位：供电公司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楷体_GB2312" w:eastAsia="楷体_GB2312" w:hAnsi="楷体" w:cs="楷体" w:hint="eastAsia"/>
          <w:color w:val="000000"/>
          <w:sz w:val="32"/>
          <w:szCs w:val="32"/>
        </w:rPr>
        <w:t>（四）提升乡村治理水平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118.</w:t>
      </w:r>
      <w:r>
        <w:rPr>
          <w:rFonts w:ascii="仿宋_GB2312" w:eastAsia="仿宋_GB2312" w:hint="eastAsia"/>
          <w:color w:val="000000"/>
          <w:sz w:val="32"/>
          <w:szCs w:val="32"/>
        </w:rPr>
        <w:t>健全农村集体“三资”监管机制，完成</w:t>
      </w:r>
      <w:r>
        <w:rPr>
          <w:rFonts w:ascii="仿宋_GB2312" w:eastAsia="仿宋_GB2312" w:hint="eastAsia"/>
          <w:color w:val="000000"/>
          <w:sz w:val="32"/>
          <w:szCs w:val="32"/>
        </w:rPr>
        <w:t>240</w:t>
      </w:r>
      <w:r>
        <w:rPr>
          <w:rFonts w:ascii="仿宋_GB2312" w:eastAsia="仿宋_GB2312" w:hint="eastAsia"/>
          <w:color w:val="000000"/>
          <w:sz w:val="32"/>
          <w:szCs w:val="32"/>
        </w:rPr>
        <w:t>个村集体提级验收。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牵头领导：刘晓玮；牵头单位：农业农村局；配合单位：各镇区街道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119.</w:t>
      </w:r>
      <w:r>
        <w:rPr>
          <w:rFonts w:ascii="仿宋_GB2312" w:eastAsia="仿宋_GB2312" w:hint="eastAsia"/>
          <w:color w:val="000000"/>
          <w:sz w:val="32"/>
          <w:szCs w:val="32"/>
        </w:rPr>
        <w:t>推行信息化与电子化流转交易，全年开展土地流转</w:t>
      </w:r>
      <w:r>
        <w:rPr>
          <w:rFonts w:ascii="仿宋_GB2312" w:eastAsia="仿宋_GB2312" w:hint="eastAsia"/>
          <w:color w:val="000000"/>
          <w:sz w:val="32"/>
          <w:szCs w:val="32"/>
        </w:rPr>
        <w:t>3000</w:t>
      </w:r>
      <w:r>
        <w:rPr>
          <w:rFonts w:ascii="仿宋_GB2312" w:eastAsia="仿宋_GB2312" w:hint="eastAsia"/>
          <w:color w:val="000000"/>
          <w:sz w:val="32"/>
          <w:szCs w:val="32"/>
        </w:rPr>
        <w:t>亩以上，资产资源交易</w:t>
      </w:r>
      <w:r>
        <w:rPr>
          <w:rFonts w:ascii="仿宋_GB2312" w:eastAsia="仿宋_GB2312" w:hint="eastAsia"/>
          <w:color w:val="000000"/>
          <w:sz w:val="32"/>
          <w:szCs w:val="32"/>
        </w:rPr>
        <w:t>1000</w:t>
      </w:r>
      <w:r>
        <w:rPr>
          <w:rFonts w:ascii="仿宋_GB2312" w:eastAsia="仿宋_GB2312" w:hint="eastAsia"/>
          <w:color w:val="000000"/>
          <w:sz w:val="32"/>
          <w:szCs w:val="32"/>
        </w:rPr>
        <w:t>万元以上。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牵头领导：刘晓玮；牵头单位：农业农村局；配合单位：各镇区街道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</w:rPr>
        <w:t>七、以群众满意为根本，更具质感增进民生福祉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（一）不断优化公共服务供给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120.</w:t>
      </w:r>
      <w:r>
        <w:rPr>
          <w:rFonts w:ascii="仿宋_GB2312" w:eastAsia="仿宋_GB2312" w:hint="eastAsia"/>
          <w:color w:val="000000"/>
          <w:sz w:val="32"/>
          <w:szCs w:val="32"/>
        </w:rPr>
        <w:t>完成航天幼儿园建设。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牵头领导：倪永妮；牵头单位：昊海城建集团；配合单位：教育和体育局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121.</w:t>
      </w:r>
      <w:r>
        <w:rPr>
          <w:rFonts w:ascii="仿宋_GB2312" w:eastAsia="仿宋_GB2312" w:hint="eastAsia"/>
          <w:color w:val="000000"/>
          <w:sz w:val="32"/>
          <w:szCs w:val="32"/>
        </w:rPr>
        <w:t>完成航天小学建设。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牵头领导：倪永妮；牵头单位：昊海城建集团；配合单位：教育和体育局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122.</w:t>
      </w:r>
      <w:r>
        <w:rPr>
          <w:rFonts w:ascii="仿宋_GB2312" w:eastAsia="仿宋_GB2312" w:hint="eastAsia"/>
          <w:color w:val="000000"/>
          <w:sz w:val="32"/>
          <w:szCs w:val="32"/>
        </w:rPr>
        <w:t>完成育英学校校舍建设。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 w:hAnsi="Times New Roman"/>
          <w:color w:val="000000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123.</w:t>
      </w:r>
      <w:r>
        <w:rPr>
          <w:rFonts w:ascii="仿宋_GB2312" w:eastAsia="仿宋_GB2312" w:hAnsi="Times New Roman" w:hint="eastAsia"/>
          <w:color w:val="000000"/>
          <w:sz w:val="32"/>
          <w:szCs w:val="32"/>
        </w:rPr>
        <w:t>实施轻工业学校提升工程。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Ansi="Times New Roman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124.</w:t>
      </w:r>
      <w:r>
        <w:rPr>
          <w:rFonts w:ascii="仿宋_GB2312" w:eastAsia="仿宋_GB2312" w:hint="eastAsia"/>
          <w:color w:val="000000"/>
          <w:sz w:val="32"/>
          <w:szCs w:val="32"/>
        </w:rPr>
        <w:t>实施海阳一中提升工程。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125.</w:t>
      </w:r>
      <w:r>
        <w:rPr>
          <w:rFonts w:ascii="仿宋_GB2312" w:eastAsia="仿宋_GB2312" w:hint="eastAsia"/>
          <w:color w:val="000000"/>
          <w:sz w:val="32"/>
          <w:szCs w:val="32"/>
        </w:rPr>
        <w:t>实施亚沙中学提升工程。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126.</w:t>
      </w:r>
      <w:r>
        <w:rPr>
          <w:rFonts w:ascii="仿宋_GB2312" w:eastAsia="仿宋_GB2312" w:hint="eastAsia"/>
          <w:color w:val="000000"/>
          <w:sz w:val="32"/>
          <w:szCs w:val="32"/>
        </w:rPr>
        <w:t>全面推动学前教育普及普惠发展。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127.</w:t>
      </w:r>
      <w:r>
        <w:rPr>
          <w:rFonts w:ascii="仿宋_GB2312" w:eastAsia="仿宋_GB2312" w:hint="eastAsia"/>
          <w:color w:val="000000"/>
          <w:sz w:val="32"/>
          <w:szCs w:val="32"/>
        </w:rPr>
        <w:t>稳步推进“双减工作”，落实中小学每天一节体育课，促进学生全面发展。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128.</w:t>
      </w:r>
      <w:r>
        <w:rPr>
          <w:rFonts w:ascii="仿宋_GB2312" w:eastAsia="仿宋_GB2312" w:hint="eastAsia"/>
          <w:color w:val="000000"/>
          <w:sz w:val="32"/>
          <w:szCs w:val="32"/>
        </w:rPr>
        <w:t>高等职业院校创建力争取得新突破。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牵头领导：倪永妮；牵头单位：教育和体育局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129.</w:t>
      </w:r>
      <w:r>
        <w:rPr>
          <w:rFonts w:ascii="仿宋_GB2312" w:eastAsia="仿宋_GB2312" w:hint="eastAsia"/>
          <w:color w:val="000000"/>
          <w:sz w:val="32"/>
          <w:szCs w:val="32"/>
        </w:rPr>
        <w:t>推动市中医医院青少年康复中心投用。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牵头领导：倪永妮；牵头单位：卫生健康局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130.</w:t>
      </w:r>
      <w:r>
        <w:rPr>
          <w:rFonts w:ascii="仿宋_GB2312" w:eastAsia="仿宋_GB2312" w:hint="eastAsia"/>
          <w:color w:val="000000"/>
          <w:sz w:val="32"/>
          <w:szCs w:val="32"/>
        </w:rPr>
        <w:t>推进医联体和医共体建设，邀请来海专家</w:t>
      </w:r>
      <w:r>
        <w:rPr>
          <w:rFonts w:ascii="仿宋_GB2312" w:eastAsia="仿宋_GB2312" w:hint="eastAsia"/>
          <w:color w:val="000000"/>
          <w:sz w:val="32"/>
          <w:szCs w:val="32"/>
        </w:rPr>
        <w:t>800</w:t>
      </w:r>
      <w:r>
        <w:rPr>
          <w:rFonts w:ascii="仿宋_GB2312" w:eastAsia="仿宋_GB2312" w:hint="eastAsia"/>
          <w:color w:val="000000"/>
          <w:sz w:val="32"/>
          <w:szCs w:val="32"/>
        </w:rPr>
        <w:t>人次以上。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牵头领导：倪永妮；牵头单位：卫生健康局；配合单位：市委组织部、市委宣传部、市委编办、发展和改革局、财政局、人力资源和社会保障局、审计局、医疗保障局、市场监督管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理局、各镇区街道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131.</w:t>
      </w:r>
      <w:r>
        <w:rPr>
          <w:rFonts w:ascii="仿宋_GB2312" w:eastAsia="仿宋_GB2312" w:hint="eastAsia"/>
          <w:color w:val="000000"/>
          <w:sz w:val="32"/>
          <w:szCs w:val="32"/>
        </w:rPr>
        <w:t>加快推进“中医阁”和特色基层卫生室建设。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导：倪永妮；牵头单位：卫生健康局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132.</w:t>
      </w:r>
      <w:r>
        <w:rPr>
          <w:rFonts w:ascii="仿宋_GB2312" w:eastAsia="仿宋_GB2312" w:hint="eastAsia"/>
          <w:color w:val="000000"/>
          <w:sz w:val="32"/>
          <w:szCs w:val="32"/>
        </w:rPr>
        <w:t>“家庭医生”重点人群签约覆盖率达</w:t>
      </w:r>
      <w:r>
        <w:rPr>
          <w:rFonts w:ascii="仿宋_GB2312" w:eastAsia="仿宋_GB2312" w:hint="eastAsia"/>
          <w:color w:val="000000"/>
          <w:sz w:val="32"/>
          <w:szCs w:val="32"/>
        </w:rPr>
        <w:t>85%</w:t>
      </w:r>
      <w:r>
        <w:rPr>
          <w:rFonts w:ascii="仿宋_GB2312" w:eastAsia="仿宋_GB2312" w:hint="eastAsia"/>
          <w:color w:val="000000"/>
          <w:sz w:val="32"/>
          <w:szCs w:val="32"/>
        </w:rPr>
        <w:t>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牵头领导：倪永妮；牵头单位：卫生健康局；配合单位：医疗保障局、财政局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（二）坚决兜牢民生保障底线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133.</w:t>
      </w:r>
      <w:r>
        <w:rPr>
          <w:rFonts w:ascii="仿宋_GB2312" w:eastAsia="仿宋_GB2312" w:hint="eastAsia"/>
          <w:color w:val="000000"/>
          <w:sz w:val="32"/>
          <w:szCs w:val="32"/>
        </w:rPr>
        <w:t>全年新增城镇就业</w:t>
      </w:r>
      <w:r>
        <w:rPr>
          <w:rFonts w:ascii="仿宋_GB2312" w:eastAsia="仿宋_GB2312" w:hint="eastAsia"/>
          <w:color w:val="000000"/>
          <w:sz w:val="32"/>
          <w:szCs w:val="32"/>
        </w:rPr>
        <w:t>4000</w:t>
      </w:r>
      <w:r>
        <w:rPr>
          <w:rFonts w:ascii="仿宋_GB2312" w:eastAsia="仿宋_GB2312" w:hint="eastAsia"/>
          <w:color w:val="000000"/>
          <w:sz w:val="32"/>
          <w:szCs w:val="32"/>
        </w:rPr>
        <w:t>人，失业人员再就业</w:t>
      </w:r>
      <w:r>
        <w:rPr>
          <w:rFonts w:ascii="仿宋_GB2312" w:eastAsia="仿宋_GB2312" w:hint="eastAsia"/>
          <w:color w:val="000000"/>
          <w:sz w:val="32"/>
          <w:szCs w:val="32"/>
        </w:rPr>
        <w:t>1000</w:t>
      </w:r>
      <w:r>
        <w:rPr>
          <w:rFonts w:ascii="仿宋_GB2312" w:eastAsia="仿宋_GB2312" w:hint="eastAsia"/>
          <w:color w:val="000000"/>
          <w:sz w:val="32"/>
          <w:szCs w:val="32"/>
        </w:rPr>
        <w:t>人。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牵头领导：倪永妮；牵头单位：人力资源和社会保障局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134.</w:t>
      </w:r>
      <w:r>
        <w:rPr>
          <w:rFonts w:ascii="仿宋_GB2312" w:eastAsia="仿宋_GB2312" w:hint="eastAsia"/>
          <w:color w:val="000000"/>
          <w:sz w:val="32"/>
          <w:szCs w:val="32"/>
        </w:rPr>
        <w:t>推动家庭养老床位建设，开展居家上门服务。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牵头领导：倪永妮；牵头单位：民政局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135.</w:t>
      </w:r>
      <w:r>
        <w:rPr>
          <w:rFonts w:ascii="仿宋_GB2312" w:eastAsia="仿宋_GB2312" w:hint="eastAsia"/>
          <w:color w:val="000000"/>
          <w:sz w:val="32"/>
          <w:szCs w:val="32"/>
        </w:rPr>
        <w:t>加大社会救助力度，保障困难群众基本生活</w:t>
      </w:r>
      <w:r>
        <w:rPr>
          <w:rFonts w:ascii="仿宋_GB2312" w:eastAsia="仿宋_GB2312" w:hint="eastAsia"/>
          <w:color w:val="000000"/>
          <w:sz w:val="32"/>
          <w:szCs w:val="32"/>
        </w:rPr>
        <w:t>，引导社会组织、慈善事业规范健康发展。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牵头领导：倪永妮；牵头单位：民政局；配合单位：市委社会工作部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color w:val="000000"/>
          <w:sz w:val="32"/>
        </w:rPr>
        <w:t>（三）全力保障社会和谐稳定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136.</w:t>
      </w:r>
      <w:r>
        <w:rPr>
          <w:rFonts w:ascii="仿宋_GB2312" w:eastAsia="仿宋_GB2312" w:hint="eastAsia"/>
          <w:color w:val="000000"/>
          <w:sz w:val="32"/>
          <w:szCs w:val="32"/>
        </w:rPr>
        <w:t>开展重点领域安全隐患排查整治。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牵头领导：范晓鹏；牵头单位：市安全生产委员会办公室；配合单位：市安全生产委员会各成员单位、各镇区街道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137.</w:t>
      </w:r>
      <w:r>
        <w:rPr>
          <w:rFonts w:ascii="仿宋_GB2312" w:eastAsia="仿宋_GB2312" w:hint="eastAsia"/>
          <w:color w:val="000000"/>
          <w:sz w:val="32"/>
          <w:szCs w:val="32"/>
        </w:rPr>
        <w:t>毫不放松抓好松材线虫病防控。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牵头领导：刘晓玮；牵头单位：林业局；配合单位：招虎山管理服务中心、各镇区街道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138.</w:t>
      </w:r>
      <w:r>
        <w:rPr>
          <w:rFonts w:ascii="仿宋_GB2312" w:eastAsia="仿宋_GB2312" w:hint="eastAsia"/>
          <w:color w:val="000000"/>
          <w:sz w:val="32"/>
          <w:szCs w:val="32"/>
        </w:rPr>
        <w:t>毫不放松抓好森林防火。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牵头领导：刘晓玮；牵头单位：林业局、应急管理局；配合单位：招虎山管理服务中心、各</w:t>
      </w:r>
      <w:r>
        <w:rPr>
          <w:rFonts w:ascii="楷体_GB2312" w:eastAsia="楷体_GB2312" w:hAnsi="楷体_GB2312" w:cs="楷体_GB2312" w:hint="eastAsia"/>
          <w:color w:val="000000"/>
          <w:sz w:val="32"/>
        </w:rPr>
        <w:lastRenderedPageBreak/>
        <w:t>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widowControl/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139.</w:t>
      </w:r>
      <w:r>
        <w:rPr>
          <w:rFonts w:ascii="仿宋_GB2312" w:eastAsia="仿宋_GB2312" w:hint="eastAsia"/>
          <w:color w:val="000000"/>
          <w:sz w:val="32"/>
          <w:szCs w:val="32"/>
        </w:rPr>
        <w:t>全力推动化债工作，降低政府债务风险。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牵头领导：梁景俊；牵头单位：财政局；配合单位：发展和改革局、住房和城乡建设局、工业和信息化局、国有资本运营集团、昊海城建集团、海发水务集团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140.</w:t>
      </w:r>
      <w:r>
        <w:rPr>
          <w:rFonts w:ascii="仿宋_GB2312" w:eastAsia="仿宋_GB2312" w:hint="eastAsia"/>
          <w:color w:val="000000"/>
          <w:sz w:val="32"/>
          <w:szCs w:val="32"/>
        </w:rPr>
        <w:t>严守食品安全底线，守护老百姓“舌尖上的安全”。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牵头领导：范晓鹏；牵头单位：市场监督管理局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141.</w:t>
      </w:r>
      <w:r>
        <w:rPr>
          <w:rFonts w:ascii="仿宋_GB2312" w:eastAsia="仿宋_GB2312" w:hint="eastAsia"/>
          <w:color w:val="000000"/>
          <w:sz w:val="32"/>
          <w:szCs w:val="32"/>
        </w:rPr>
        <w:t>持续做好双拥共建、国防教育、国防动员、退役军人服务保障等工作。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牵头领导：梁景俊、孙江波；牵头单位：市国防动员办公室、退役</w:t>
      </w:r>
      <w:r>
        <w:rPr>
          <w:rFonts w:ascii="楷体_GB2312" w:eastAsia="楷体_GB2312" w:hAnsi="楷体_GB2312" w:cs="楷体_GB2312" w:hint="eastAsia"/>
          <w:color w:val="000000"/>
          <w:sz w:val="32"/>
        </w:rPr>
        <w:t>军人事务局；配合单位：市国防动员委员会各成员单位、市委退役军人事务工作领导小组各成员单位、各镇区街道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142.</w:t>
      </w:r>
      <w:r>
        <w:rPr>
          <w:rFonts w:ascii="仿宋_GB2312" w:eastAsia="仿宋_GB2312" w:hint="eastAsia"/>
          <w:color w:val="000000"/>
          <w:sz w:val="32"/>
          <w:szCs w:val="32"/>
        </w:rPr>
        <w:t>深化反诈协同治理，构建完善“全民反诈、全社会反诈”格局。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牵头领导：孙江波；牵头单位：公安局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143.</w:t>
      </w:r>
      <w:r>
        <w:rPr>
          <w:rFonts w:ascii="仿宋_GB2312" w:eastAsia="仿宋_GB2312" w:hint="eastAsia"/>
          <w:color w:val="000000"/>
          <w:sz w:val="32"/>
          <w:szCs w:val="32"/>
        </w:rPr>
        <w:t>打击整治非法传销。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牵头领导：孙江波、范晓鹏；牵头单位：市场监督管理局、公安局；配合单位：住房和城乡建设局、交通运输局、工业和信息化局、城市运行中心、各镇区街道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144.</w:t>
      </w:r>
      <w:r>
        <w:rPr>
          <w:rFonts w:ascii="仿宋_GB2312" w:eastAsia="仿宋_GB2312" w:hint="eastAsia"/>
          <w:color w:val="000000"/>
          <w:sz w:val="32"/>
          <w:szCs w:val="32"/>
        </w:rPr>
        <w:t>开展“化解矛盾风险、维护社会稳定”专项行动。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牵头领导：孙江波；牵头单位：公安局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楷体_GB2312" w:eastAsia="楷体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145.</w:t>
      </w:r>
      <w:r>
        <w:rPr>
          <w:rFonts w:ascii="仿宋_GB2312" w:eastAsia="仿宋_GB2312" w:hint="eastAsia"/>
          <w:color w:val="000000"/>
          <w:sz w:val="32"/>
          <w:szCs w:val="32"/>
        </w:rPr>
        <w:t>严防极端案件发生。</w:t>
      </w:r>
      <w:r>
        <w:rPr>
          <w:rFonts w:ascii="楷体_GB2312" w:eastAsia="楷体_GB2312" w:hint="eastAsia"/>
          <w:color w:val="000000"/>
          <w:sz w:val="32"/>
          <w:szCs w:val="32"/>
        </w:rPr>
        <w:t>（</w:t>
      </w:r>
      <w:r>
        <w:rPr>
          <w:rFonts w:ascii="楷体_GB2312" w:eastAsia="楷体_GB2312" w:hAnsi="楷体_GB2312" w:cs="楷体_GB2312" w:hint="eastAsia"/>
          <w:color w:val="000000"/>
          <w:sz w:val="32"/>
        </w:rPr>
        <w:t>牵头领导：孙</w:t>
      </w:r>
      <w:r>
        <w:rPr>
          <w:rFonts w:ascii="楷体_GB2312" w:eastAsia="楷体_GB2312" w:hAnsi="楷体_GB2312" w:cs="楷体_GB2312" w:hint="eastAsia"/>
          <w:color w:val="000000"/>
          <w:sz w:val="32"/>
        </w:rPr>
        <w:t>江波；牵头单位：公安局</w:t>
      </w:r>
      <w:r>
        <w:rPr>
          <w:rFonts w:ascii="楷体_GB2312" w:eastAsia="楷体_GB2312" w:hint="eastAsia"/>
          <w:color w:val="000000"/>
          <w:sz w:val="32"/>
          <w:szCs w:val="32"/>
        </w:rPr>
        <w:t>）</w:t>
      </w:r>
    </w:p>
    <w:p w:rsidR="00B33836" w:rsidRDefault="00206151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Times New Roman" w:hint="eastAsia"/>
          <w:color w:val="000000"/>
          <w:sz w:val="32"/>
          <w:szCs w:val="32"/>
        </w:rPr>
        <w:lastRenderedPageBreak/>
        <w:t>以上分工意见，各牵头单位要发挥好牵头抓总作用，按照“项目化、清单化、责任化”要求，建立工作台帐，认真做好所负责的具体工作；要加强部门沟通对接，统筹抓好各项重点工作落地实施。市政府办公室要加强督促检查，定期通报并向社会公开完成情况。市考核部门要将《政府工作报告》重点工作纳入全市高质量发展综合绩效考核，力求涉及事项逐项落实、对账销号、限时清零。</w:t>
      </w: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206151">
      <w:pPr>
        <w:overflowPunct w:val="0"/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海阳市人民政府</w:t>
      </w:r>
    </w:p>
    <w:p w:rsidR="00B33836" w:rsidRDefault="00206151">
      <w:pPr>
        <w:overflowPunct w:val="0"/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26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B33836" w:rsidRDefault="00206151">
      <w:pPr>
        <w:overflowPunct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（此件公开发布）</w:t>
      </w: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overflowPunct w:val="0"/>
        <w:spacing w:line="560" w:lineRule="exact"/>
        <w:rPr>
          <w:rFonts w:ascii="仿宋_GB2312" w:eastAsia="仿宋_GB2312"/>
          <w:sz w:val="32"/>
          <w:szCs w:val="32"/>
        </w:rPr>
      </w:pPr>
    </w:p>
    <w:p w:rsidR="00B33836" w:rsidRDefault="00B33836">
      <w:pPr>
        <w:spacing w:line="400" w:lineRule="exact"/>
        <w:rPr>
          <w:rFonts w:ascii="仿宋_GB2312" w:eastAsia="仿宋_GB2312"/>
          <w:sz w:val="32"/>
          <w:szCs w:val="32"/>
          <w:u w:val="thick"/>
        </w:rPr>
      </w:pPr>
    </w:p>
    <w:p w:rsidR="00B33836" w:rsidRDefault="00206151">
      <w:pPr>
        <w:spacing w:line="400" w:lineRule="exact"/>
        <w:rPr>
          <w:rFonts w:ascii="仿宋_GB2312" w:eastAsia="仿宋_GB2312"/>
          <w:sz w:val="28"/>
          <w:szCs w:val="28"/>
          <w:u w:val="thick"/>
        </w:rPr>
      </w:pPr>
      <w:r>
        <w:rPr>
          <w:rFonts w:ascii="仿宋_GB2312" w:eastAsia="仿宋_GB2312" w:hint="eastAsia"/>
          <w:sz w:val="28"/>
          <w:szCs w:val="28"/>
          <w:u w:val="thick"/>
        </w:rPr>
        <w:t xml:space="preserve">  </w:t>
      </w:r>
      <w:r>
        <w:rPr>
          <w:rFonts w:ascii="仿宋_GB2312" w:eastAsia="仿宋_GB2312" w:hint="eastAsia"/>
          <w:sz w:val="28"/>
          <w:szCs w:val="28"/>
          <w:u w:val="thick"/>
        </w:rPr>
        <w:t>海阳市人民政府办公室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                  2025</w:t>
      </w:r>
      <w:r>
        <w:rPr>
          <w:rFonts w:ascii="仿宋_GB2312" w:eastAsia="仿宋_GB2312" w:hint="eastAsia"/>
          <w:sz w:val="28"/>
          <w:szCs w:val="28"/>
          <w:u w:val="thick"/>
        </w:rPr>
        <w:t>年</w:t>
      </w:r>
      <w:r>
        <w:rPr>
          <w:rFonts w:ascii="仿宋_GB2312" w:eastAsia="仿宋_GB2312" w:hint="eastAsia"/>
          <w:sz w:val="28"/>
          <w:szCs w:val="28"/>
          <w:u w:val="thick"/>
        </w:rPr>
        <w:t>1</w:t>
      </w:r>
      <w:r>
        <w:rPr>
          <w:rFonts w:ascii="仿宋_GB2312" w:eastAsia="仿宋_GB2312" w:hint="eastAsia"/>
          <w:sz w:val="28"/>
          <w:szCs w:val="28"/>
          <w:u w:val="thick"/>
        </w:rPr>
        <w:t>月</w:t>
      </w:r>
      <w:r>
        <w:rPr>
          <w:rFonts w:ascii="仿宋_GB2312" w:eastAsia="仿宋_GB2312" w:hint="eastAsia"/>
          <w:sz w:val="28"/>
          <w:szCs w:val="28"/>
          <w:u w:val="thick"/>
        </w:rPr>
        <w:t>26</w:t>
      </w:r>
      <w:r>
        <w:rPr>
          <w:rFonts w:ascii="仿宋_GB2312" w:eastAsia="仿宋_GB2312" w:hint="eastAsia"/>
          <w:sz w:val="28"/>
          <w:szCs w:val="28"/>
          <w:u w:val="thick"/>
        </w:rPr>
        <w:t>日印发</w:t>
      </w:r>
      <w:r>
        <w:rPr>
          <w:rFonts w:ascii="仿宋_GB2312" w:eastAsia="仿宋_GB2312" w:hint="eastAsia"/>
          <w:sz w:val="28"/>
          <w:szCs w:val="28"/>
          <w:u w:val="thick"/>
        </w:rPr>
        <w:t xml:space="preserve">  </w:t>
      </w:r>
    </w:p>
    <w:sectPr w:rsidR="00B33836" w:rsidSect="00B33836">
      <w:footerReference w:type="even" r:id="rId9"/>
      <w:footerReference w:type="default" r:id="rId10"/>
      <w:pgSz w:w="11906" w:h="16838"/>
      <w:pgMar w:top="2155" w:right="1531" w:bottom="1928" w:left="1531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6151" w:rsidRDefault="00206151" w:rsidP="00B33836">
      <w:r>
        <w:separator/>
      </w:r>
    </w:p>
  </w:endnote>
  <w:endnote w:type="continuationSeparator" w:id="1">
    <w:p w:rsidR="00206151" w:rsidRDefault="00206151" w:rsidP="00B338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836" w:rsidRDefault="00206151">
    <w:pPr>
      <w:pStyle w:val="a9"/>
      <w:ind w:firstLineChars="100" w:firstLine="280"/>
      <w:rPr>
        <w:rFonts w:asciiTheme="minorEastAsia" w:eastAsiaTheme="minorEastAsia" w:hAnsiTheme="minorEastAsia"/>
        <w:sz w:val="28"/>
        <w:szCs w:val="28"/>
      </w:rPr>
    </w:pPr>
    <w:r>
      <w:rPr>
        <w:rFonts w:asciiTheme="minorEastAsia" w:eastAsiaTheme="minorEastAsia" w:hAnsiTheme="minorEastAsia" w:hint="eastAsia"/>
        <w:sz w:val="28"/>
        <w:szCs w:val="28"/>
      </w:rPr>
      <w:t>—</w:t>
    </w:r>
    <w:sdt>
      <w:sdtPr>
        <w:rPr>
          <w:rFonts w:asciiTheme="minorEastAsia" w:eastAsiaTheme="minorEastAsia" w:hAnsiTheme="minorEastAsia"/>
          <w:sz w:val="28"/>
          <w:szCs w:val="28"/>
        </w:rPr>
        <w:id w:val="2007898419"/>
        <w:docPartObj>
          <w:docPartGallery w:val="AutoText"/>
        </w:docPartObj>
      </w:sdtPr>
      <w:sdtContent>
        <w:r w:rsidR="00B3383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B3383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46C3" w:rsidRPr="00C046C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 w:rsidR="00B3383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sdtContent>
    </w:sdt>
    <w:r>
      <w:rPr>
        <w:rFonts w:asciiTheme="minorEastAsia" w:eastAsiaTheme="minorEastAsia" w:hAnsiTheme="minorEastAsia" w:hint="eastAsia"/>
        <w:sz w:val="28"/>
        <w:szCs w:val="28"/>
      </w:rPr>
      <w:t>—</w:t>
    </w:r>
  </w:p>
  <w:p w:rsidR="00B33836" w:rsidRDefault="00B3383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898433"/>
      <w:docPartObj>
        <w:docPartGallery w:val="AutoText"/>
      </w:docPartObj>
    </w:sdtPr>
    <w:sdtContent>
      <w:p w:rsidR="00B33836" w:rsidRDefault="00206151">
        <w:pPr>
          <w:pStyle w:val="a9"/>
          <w:ind w:right="360"/>
          <w:jc w:val="right"/>
        </w:pP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 w:rsidR="00B33836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 w:rsidR="00B33836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C046C3" w:rsidRPr="00C046C3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1</w:t>
        </w:r>
        <w:r w:rsidR="00B33836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B33836" w:rsidRDefault="00B3383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6151" w:rsidRDefault="00206151" w:rsidP="00B33836">
      <w:r>
        <w:separator/>
      </w:r>
    </w:p>
  </w:footnote>
  <w:footnote w:type="continuationSeparator" w:id="1">
    <w:p w:rsidR="00206151" w:rsidRDefault="00206151" w:rsidP="00B338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7DB52"/>
    <w:multiLevelType w:val="singleLevel"/>
    <w:tmpl w:val="5B07DB52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2535"/>
    <w:rsid w:val="00000612"/>
    <w:rsid w:val="00001741"/>
    <w:rsid w:val="00010FFE"/>
    <w:rsid w:val="0001403B"/>
    <w:rsid w:val="0002208A"/>
    <w:rsid w:val="0002355B"/>
    <w:rsid w:val="00023B92"/>
    <w:rsid w:val="000328CE"/>
    <w:rsid w:val="000331D0"/>
    <w:rsid w:val="000515B4"/>
    <w:rsid w:val="00052303"/>
    <w:rsid w:val="00052C99"/>
    <w:rsid w:val="00053E21"/>
    <w:rsid w:val="000634CC"/>
    <w:rsid w:val="00071D96"/>
    <w:rsid w:val="00086D7C"/>
    <w:rsid w:val="000A1671"/>
    <w:rsid w:val="000A4B4B"/>
    <w:rsid w:val="000B2D23"/>
    <w:rsid w:val="000B36FB"/>
    <w:rsid w:val="000B581D"/>
    <w:rsid w:val="000C2A7B"/>
    <w:rsid w:val="000C3544"/>
    <w:rsid w:val="000C3C5E"/>
    <w:rsid w:val="000C4372"/>
    <w:rsid w:val="000C7290"/>
    <w:rsid w:val="000C7A72"/>
    <w:rsid w:val="000E0470"/>
    <w:rsid w:val="000F413D"/>
    <w:rsid w:val="001021B8"/>
    <w:rsid w:val="001042DF"/>
    <w:rsid w:val="00107970"/>
    <w:rsid w:val="00113F98"/>
    <w:rsid w:val="0011556F"/>
    <w:rsid w:val="0011652D"/>
    <w:rsid w:val="001366C9"/>
    <w:rsid w:val="001370A3"/>
    <w:rsid w:val="00145502"/>
    <w:rsid w:val="00152A33"/>
    <w:rsid w:val="00157EF1"/>
    <w:rsid w:val="001612B6"/>
    <w:rsid w:val="00164FD4"/>
    <w:rsid w:val="001675AE"/>
    <w:rsid w:val="00170AFF"/>
    <w:rsid w:val="001747ED"/>
    <w:rsid w:val="00182971"/>
    <w:rsid w:val="00193D7F"/>
    <w:rsid w:val="00194F4C"/>
    <w:rsid w:val="00196256"/>
    <w:rsid w:val="001A488F"/>
    <w:rsid w:val="001A6FAA"/>
    <w:rsid w:val="001B4920"/>
    <w:rsid w:val="001C2A82"/>
    <w:rsid w:val="001C49D3"/>
    <w:rsid w:val="001D20A8"/>
    <w:rsid w:val="001D5B08"/>
    <w:rsid w:val="001D7DBA"/>
    <w:rsid w:val="001E5AD4"/>
    <w:rsid w:val="001F16EA"/>
    <w:rsid w:val="001F5E0E"/>
    <w:rsid w:val="0020284F"/>
    <w:rsid w:val="00206151"/>
    <w:rsid w:val="0021065C"/>
    <w:rsid w:val="002134C1"/>
    <w:rsid w:val="00213861"/>
    <w:rsid w:val="002138B1"/>
    <w:rsid w:val="002212F8"/>
    <w:rsid w:val="00234576"/>
    <w:rsid w:val="002446E7"/>
    <w:rsid w:val="00264580"/>
    <w:rsid w:val="00280C29"/>
    <w:rsid w:val="00284A27"/>
    <w:rsid w:val="0028646D"/>
    <w:rsid w:val="0029170D"/>
    <w:rsid w:val="0029292E"/>
    <w:rsid w:val="0029648B"/>
    <w:rsid w:val="002A2DE7"/>
    <w:rsid w:val="002A575A"/>
    <w:rsid w:val="002B3D6F"/>
    <w:rsid w:val="002B7312"/>
    <w:rsid w:val="002C2E0F"/>
    <w:rsid w:val="002C56E6"/>
    <w:rsid w:val="002D2B74"/>
    <w:rsid w:val="002D561E"/>
    <w:rsid w:val="002D733E"/>
    <w:rsid w:val="002E08F7"/>
    <w:rsid w:val="002E138E"/>
    <w:rsid w:val="002E74AA"/>
    <w:rsid w:val="002F26B5"/>
    <w:rsid w:val="002F70A9"/>
    <w:rsid w:val="0030540C"/>
    <w:rsid w:val="00305F43"/>
    <w:rsid w:val="003075FE"/>
    <w:rsid w:val="003151AD"/>
    <w:rsid w:val="00315DB4"/>
    <w:rsid w:val="00325228"/>
    <w:rsid w:val="00331BEC"/>
    <w:rsid w:val="00334240"/>
    <w:rsid w:val="0033566C"/>
    <w:rsid w:val="0034003E"/>
    <w:rsid w:val="00340052"/>
    <w:rsid w:val="00340DD6"/>
    <w:rsid w:val="00351782"/>
    <w:rsid w:val="0035179B"/>
    <w:rsid w:val="0035196C"/>
    <w:rsid w:val="0036422E"/>
    <w:rsid w:val="003643D6"/>
    <w:rsid w:val="003743D9"/>
    <w:rsid w:val="003748B8"/>
    <w:rsid w:val="003769EF"/>
    <w:rsid w:val="003775C8"/>
    <w:rsid w:val="0038376F"/>
    <w:rsid w:val="003945B2"/>
    <w:rsid w:val="00396632"/>
    <w:rsid w:val="003966D6"/>
    <w:rsid w:val="00397C55"/>
    <w:rsid w:val="00397EDD"/>
    <w:rsid w:val="003A07E1"/>
    <w:rsid w:val="003A2913"/>
    <w:rsid w:val="003B0182"/>
    <w:rsid w:val="003B1ADB"/>
    <w:rsid w:val="003C415B"/>
    <w:rsid w:val="003D162C"/>
    <w:rsid w:val="003D677E"/>
    <w:rsid w:val="003E2165"/>
    <w:rsid w:val="003F5E79"/>
    <w:rsid w:val="004062CA"/>
    <w:rsid w:val="00421AFA"/>
    <w:rsid w:val="00422848"/>
    <w:rsid w:val="00423054"/>
    <w:rsid w:val="00423645"/>
    <w:rsid w:val="00423811"/>
    <w:rsid w:val="004307B7"/>
    <w:rsid w:val="0043109C"/>
    <w:rsid w:val="004429FA"/>
    <w:rsid w:val="004567BC"/>
    <w:rsid w:val="00464FDC"/>
    <w:rsid w:val="004669C8"/>
    <w:rsid w:val="00466D8B"/>
    <w:rsid w:val="00467CD1"/>
    <w:rsid w:val="004738E1"/>
    <w:rsid w:val="004762A9"/>
    <w:rsid w:val="0047742D"/>
    <w:rsid w:val="004850CB"/>
    <w:rsid w:val="0048794A"/>
    <w:rsid w:val="00495978"/>
    <w:rsid w:val="004A017D"/>
    <w:rsid w:val="004A1A67"/>
    <w:rsid w:val="004A20C6"/>
    <w:rsid w:val="004A2541"/>
    <w:rsid w:val="004B1469"/>
    <w:rsid w:val="004C1010"/>
    <w:rsid w:val="004C1223"/>
    <w:rsid w:val="004C2730"/>
    <w:rsid w:val="004C53F0"/>
    <w:rsid w:val="004D1CA3"/>
    <w:rsid w:val="004D2ACA"/>
    <w:rsid w:val="004D4771"/>
    <w:rsid w:val="004D6C96"/>
    <w:rsid w:val="004E02BC"/>
    <w:rsid w:val="004E7F20"/>
    <w:rsid w:val="004F1009"/>
    <w:rsid w:val="004F1622"/>
    <w:rsid w:val="004F1805"/>
    <w:rsid w:val="005016DC"/>
    <w:rsid w:val="00502A21"/>
    <w:rsid w:val="00504713"/>
    <w:rsid w:val="005111D8"/>
    <w:rsid w:val="00520A3A"/>
    <w:rsid w:val="00520FD4"/>
    <w:rsid w:val="005239E0"/>
    <w:rsid w:val="005319DA"/>
    <w:rsid w:val="00532583"/>
    <w:rsid w:val="0053629F"/>
    <w:rsid w:val="00537D5C"/>
    <w:rsid w:val="005404A6"/>
    <w:rsid w:val="00541F90"/>
    <w:rsid w:val="0054576C"/>
    <w:rsid w:val="00545FF5"/>
    <w:rsid w:val="00547388"/>
    <w:rsid w:val="00551278"/>
    <w:rsid w:val="005604DC"/>
    <w:rsid w:val="00561487"/>
    <w:rsid w:val="005636B4"/>
    <w:rsid w:val="00581331"/>
    <w:rsid w:val="005907E0"/>
    <w:rsid w:val="005914AC"/>
    <w:rsid w:val="00592D05"/>
    <w:rsid w:val="00597D5C"/>
    <w:rsid w:val="005A0772"/>
    <w:rsid w:val="005A3360"/>
    <w:rsid w:val="005A3417"/>
    <w:rsid w:val="005A42BC"/>
    <w:rsid w:val="005A4C62"/>
    <w:rsid w:val="005B0C6E"/>
    <w:rsid w:val="005B4929"/>
    <w:rsid w:val="005C088C"/>
    <w:rsid w:val="005D2A75"/>
    <w:rsid w:val="005D3EFA"/>
    <w:rsid w:val="005D41A5"/>
    <w:rsid w:val="005D639A"/>
    <w:rsid w:val="005E5D01"/>
    <w:rsid w:val="005E7B64"/>
    <w:rsid w:val="00600A85"/>
    <w:rsid w:val="00602273"/>
    <w:rsid w:val="00612538"/>
    <w:rsid w:val="00617211"/>
    <w:rsid w:val="006241D3"/>
    <w:rsid w:val="006313CF"/>
    <w:rsid w:val="00632D63"/>
    <w:rsid w:val="0063766E"/>
    <w:rsid w:val="00637F25"/>
    <w:rsid w:val="00646917"/>
    <w:rsid w:val="00656580"/>
    <w:rsid w:val="00667C8C"/>
    <w:rsid w:val="006805AC"/>
    <w:rsid w:val="0068165B"/>
    <w:rsid w:val="006820DA"/>
    <w:rsid w:val="0068456E"/>
    <w:rsid w:val="0068755C"/>
    <w:rsid w:val="0069217E"/>
    <w:rsid w:val="00692535"/>
    <w:rsid w:val="00697911"/>
    <w:rsid w:val="006A0F73"/>
    <w:rsid w:val="006A1583"/>
    <w:rsid w:val="006A1910"/>
    <w:rsid w:val="006B02EB"/>
    <w:rsid w:val="006B4464"/>
    <w:rsid w:val="006E203F"/>
    <w:rsid w:val="006E2A82"/>
    <w:rsid w:val="006E2A88"/>
    <w:rsid w:val="006E2E97"/>
    <w:rsid w:val="006E40BB"/>
    <w:rsid w:val="006E485E"/>
    <w:rsid w:val="006F0CB2"/>
    <w:rsid w:val="00701F7B"/>
    <w:rsid w:val="00713F4E"/>
    <w:rsid w:val="0072232E"/>
    <w:rsid w:val="00726E19"/>
    <w:rsid w:val="00734B11"/>
    <w:rsid w:val="007408D6"/>
    <w:rsid w:val="00750CC1"/>
    <w:rsid w:val="00750F7C"/>
    <w:rsid w:val="00757EB3"/>
    <w:rsid w:val="00770B5F"/>
    <w:rsid w:val="0077442F"/>
    <w:rsid w:val="00777AE3"/>
    <w:rsid w:val="007809E9"/>
    <w:rsid w:val="00780DFC"/>
    <w:rsid w:val="007813BD"/>
    <w:rsid w:val="00785B81"/>
    <w:rsid w:val="007C0DAA"/>
    <w:rsid w:val="007C7282"/>
    <w:rsid w:val="007D1918"/>
    <w:rsid w:val="007E4D64"/>
    <w:rsid w:val="007F4459"/>
    <w:rsid w:val="00801161"/>
    <w:rsid w:val="00802838"/>
    <w:rsid w:val="00817D04"/>
    <w:rsid w:val="00820C5B"/>
    <w:rsid w:val="00826235"/>
    <w:rsid w:val="00844415"/>
    <w:rsid w:val="00854399"/>
    <w:rsid w:val="00856689"/>
    <w:rsid w:val="00857560"/>
    <w:rsid w:val="00857FCF"/>
    <w:rsid w:val="00860D72"/>
    <w:rsid w:val="0086242B"/>
    <w:rsid w:val="0086388C"/>
    <w:rsid w:val="00865FC4"/>
    <w:rsid w:val="00873726"/>
    <w:rsid w:val="0087410E"/>
    <w:rsid w:val="00875C70"/>
    <w:rsid w:val="00877892"/>
    <w:rsid w:val="00883407"/>
    <w:rsid w:val="00891962"/>
    <w:rsid w:val="00893FA6"/>
    <w:rsid w:val="008A371B"/>
    <w:rsid w:val="008A66A9"/>
    <w:rsid w:val="008B0CD9"/>
    <w:rsid w:val="008C1C58"/>
    <w:rsid w:val="008C3D0D"/>
    <w:rsid w:val="008C5FB1"/>
    <w:rsid w:val="008E10CF"/>
    <w:rsid w:val="008E24A2"/>
    <w:rsid w:val="0090022F"/>
    <w:rsid w:val="0091189A"/>
    <w:rsid w:val="00914DC0"/>
    <w:rsid w:val="0092470C"/>
    <w:rsid w:val="00936658"/>
    <w:rsid w:val="00952DC0"/>
    <w:rsid w:val="00955AAE"/>
    <w:rsid w:val="009644DB"/>
    <w:rsid w:val="00964A17"/>
    <w:rsid w:val="00973309"/>
    <w:rsid w:val="009801DC"/>
    <w:rsid w:val="009844DD"/>
    <w:rsid w:val="00994365"/>
    <w:rsid w:val="00994FB2"/>
    <w:rsid w:val="00996047"/>
    <w:rsid w:val="00997A24"/>
    <w:rsid w:val="009A14DB"/>
    <w:rsid w:val="009A2ADA"/>
    <w:rsid w:val="009A4FA7"/>
    <w:rsid w:val="009A56C3"/>
    <w:rsid w:val="009A6B05"/>
    <w:rsid w:val="009B0162"/>
    <w:rsid w:val="009B4A20"/>
    <w:rsid w:val="009C3341"/>
    <w:rsid w:val="009C3888"/>
    <w:rsid w:val="009C4A2E"/>
    <w:rsid w:val="009D77EC"/>
    <w:rsid w:val="009E5BD4"/>
    <w:rsid w:val="009E5D95"/>
    <w:rsid w:val="009F20E5"/>
    <w:rsid w:val="009F5EAE"/>
    <w:rsid w:val="00A0189A"/>
    <w:rsid w:val="00A02B37"/>
    <w:rsid w:val="00A1680B"/>
    <w:rsid w:val="00A26F23"/>
    <w:rsid w:val="00A276C4"/>
    <w:rsid w:val="00A34973"/>
    <w:rsid w:val="00A353F9"/>
    <w:rsid w:val="00A40DE5"/>
    <w:rsid w:val="00A449DB"/>
    <w:rsid w:val="00A458FB"/>
    <w:rsid w:val="00A45B95"/>
    <w:rsid w:val="00A51231"/>
    <w:rsid w:val="00A5143F"/>
    <w:rsid w:val="00A563FE"/>
    <w:rsid w:val="00A61FE6"/>
    <w:rsid w:val="00A63675"/>
    <w:rsid w:val="00A72585"/>
    <w:rsid w:val="00A852D5"/>
    <w:rsid w:val="00A91A38"/>
    <w:rsid w:val="00AA40CA"/>
    <w:rsid w:val="00AA5745"/>
    <w:rsid w:val="00AB2B7C"/>
    <w:rsid w:val="00AB5EE8"/>
    <w:rsid w:val="00AC2C07"/>
    <w:rsid w:val="00AC3F62"/>
    <w:rsid w:val="00AD0E4C"/>
    <w:rsid w:val="00AD3B51"/>
    <w:rsid w:val="00AE278D"/>
    <w:rsid w:val="00AE5CDB"/>
    <w:rsid w:val="00AF1E01"/>
    <w:rsid w:val="00AF4D0A"/>
    <w:rsid w:val="00AF5A95"/>
    <w:rsid w:val="00B04E3E"/>
    <w:rsid w:val="00B06F73"/>
    <w:rsid w:val="00B11BE6"/>
    <w:rsid w:val="00B14941"/>
    <w:rsid w:val="00B174AB"/>
    <w:rsid w:val="00B256FB"/>
    <w:rsid w:val="00B26AF8"/>
    <w:rsid w:val="00B33836"/>
    <w:rsid w:val="00B45688"/>
    <w:rsid w:val="00B46DFE"/>
    <w:rsid w:val="00B640D4"/>
    <w:rsid w:val="00B657EE"/>
    <w:rsid w:val="00B71536"/>
    <w:rsid w:val="00B723F7"/>
    <w:rsid w:val="00B75583"/>
    <w:rsid w:val="00B824DB"/>
    <w:rsid w:val="00B92033"/>
    <w:rsid w:val="00B9333B"/>
    <w:rsid w:val="00B93C2A"/>
    <w:rsid w:val="00BB1158"/>
    <w:rsid w:val="00BB434D"/>
    <w:rsid w:val="00BC1346"/>
    <w:rsid w:val="00BC23D8"/>
    <w:rsid w:val="00BC2401"/>
    <w:rsid w:val="00BC327B"/>
    <w:rsid w:val="00BC588B"/>
    <w:rsid w:val="00BD1201"/>
    <w:rsid w:val="00BD56B9"/>
    <w:rsid w:val="00BD59C9"/>
    <w:rsid w:val="00BD6B24"/>
    <w:rsid w:val="00BE1C50"/>
    <w:rsid w:val="00BE58A5"/>
    <w:rsid w:val="00BF0FE9"/>
    <w:rsid w:val="00BF1D40"/>
    <w:rsid w:val="00BF2B8E"/>
    <w:rsid w:val="00BF3746"/>
    <w:rsid w:val="00BF5FC6"/>
    <w:rsid w:val="00C046C3"/>
    <w:rsid w:val="00C13741"/>
    <w:rsid w:val="00C22706"/>
    <w:rsid w:val="00C31E3B"/>
    <w:rsid w:val="00C3226D"/>
    <w:rsid w:val="00C34513"/>
    <w:rsid w:val="00C346E7"/>
    <w:rsid w:val="00C55004"/>
    <w:rsid w:val="00C55521"/>
    <w:rsid w:val="00C66D50"/>
    <w:rsid w:val="00C811A4"/>
    <w:rsid w:val="00C824F1"/>
    <w:rsid w:val="00C82E42"/>
    <w:rsid w:val="00C909F3"/>
    <w:rsid w:val="00C91781"/>
    <w:rsid w:val="00C95A69"/>
    <w:rsid w:val="00C96BC5"/>
    <w:rsid w:val="00CA0204"/>
    <w:rsid w:val="00CA12D7"/>
    <w:rsid w:val="00CA15E9"/>
    <w:rsid w:val="00CA4407"/>
    <w:rsid w:val="00CA766E"/>
    <w:rsid w:val="00CC1136"/>
    <w:rsid w:val="00CC1147"/>
    <w:rsid w:val="00CC28D7"/>
    <w:rsid w:val="00CC31FC"/>
    <w:rsid w:val="00CE157F"/>
    <w:rsid w:val="00CE7ABD"/>
    <w:rsid w:val="00CF08F9"/>
    <w:rsid w:val="00CF1F2B"/>
    <w:rsid w:val="00CF279D"/>
    <w:rsid w:val="00D006E9"/>
    <w:rsid w:val="00D121E7"/>
    <w:rsid w:val="00D20400"/>
    <w:rsid w:val="00D208E4"/>
    <w:rsid w:val="00D24720"/>
    <w:rsid w:val="00D25E90"/>
    <w:rsid w:val="00D3430B"/>
    <w:rsid w:val="00D3451B"/>
    <w:rsid w:val="00D508BE"/>
    <w:rsid w:val="00D57C85"/>
    <w:rsid w:val="00D7405F"/>
    <w:rsid w:val="00D74A15"/>
    <w:rsid w:val="00D75CC1"/>
    <w:rsid w:val="00D76623"/>
    <w:rsid w:val="00D87CAC"/>
    <w:rsid w:val="00D926C4"/>
    <w:rsid w:val="00D92837"/>
    <w:rsid w:val="00D94E2B"/>
    <w:rsid w:val="00DA324D"/>
    <w:rsid w:val="00DB1E95"/>
    <w:rsid w:val="00DC085E"/>
    <w:rsid w:val="00DC5997"/>
    <w:rsid w:val="00DC725A"/>
    <w:rsid w:val="00DD2F2C"/>
    <w:rsid w:val="00DD3CDF"/>
    <w:rsid w:val="00DE7554"/>
    <w:rsid w:val="00DF2F52"/>
    <w:rsid w:val="00DF43D1"/>
    <w:rsid w:val="00E02AC2"/>
    <w:rsid w:val="00E04EA9"/>
    <w:rsid w:val="00E051D5"/>
    <w:rsid w:val="00E05FEE"/>
    <w:rsid w:val="00E15CBA"/>
    <w:rsid w:val="00E1691A"/>
    <w:rsid w:val="00E20B28"/>
    <w:rsid w:val="00E240F7"/>
    <w:rsid w:val="00E27F53"/>
    <w:rsid w:val="00E3086F"/>
    <w:rsid w:val="00E33AE4"/>
    <w:rsid w:val="00E35924"/>
    <w:rsid w:val="00E37E45"/>
    <w:rsid w:val="00E4651A"/>
    <w:rsid w:val="00E52514"/>
    <w:rsid w:val="00E5735A"/>
    <w:rsid w:val="00E6005A"/>
    <w:rsid w:val="00E63336"/>
    <w:rsid w:val="00E84758"/>
    <w:rsid w:val="00E96869"/>
    <w:rsid w:val="00EA7D8D"/>
    <w:rsid w:val="00EB7369"/>
    <w:rsid w:val="00EC2C29"/>
    <w:rsid w:val="00EC6E3F"/>
    <w:rsid w:val="00ED133C"/>
    <w:rsid w:val="00ED27F7"/>
    <w:rsid w:val="00ED4BD8"/>
    <w:rsid w:val="00ED6621"/>
    <w:rsid w:val="00EE5891"/>
    <w:rsid w:val="00F01349"/>
    <w:rsid w:val="00F02AB1"/>
    <w:rsid w:val="00F144DE"/>
    <w:rsid w:val="00F15AC9"/>
    <w:rsid w:val="00F21D41"/>
    <w:rsid w:val="00F30EE9"/>
    <w:rsid w:val="00F374B1"/>
    <w:rsid w:val="00F40883"/>
    <w:rsid w:val="00F42D17"/>
    <w:rsid w:val="00F46071"/>
    <w:rsid w:val="00F46072"/>
    <w:rsid w:val="00F54ABD"/>
    <w:rsid w:val="00F62508"/>
    <w:rsid w:val="00F70640"/>
    <w:rsid w:val="00F71D4D"/>
    <w:rsid w:val="00F81C99"/>
    <w:rsid w:val="00F90267"/>
    <w:rsid w:val="00F93AEF"/>
    <w:rsid w:val="00F93EE3"/>
    <w:rsid w:val="00FA03CA"/>
    <w:rsid w:val="00FB39F9"/>
    <w:rsid w:val="00FB41CD"/>
    <w:rsid w:val="00FB74DE"/>
    <w:rsid w:val="00FC25AB"/>
    <w:rsid w:val="00FC5241"/>
    <w:rsid w:val="00FE4D38"/>
    <w:rsid w:val="6B1F9D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Body Text Indent 2" w:qFormat="1"/>
    <w:lsdException w:name="Hyperlink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Document Map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3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33836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3"/>
    <w:basedOn w:val="a"/>
    <w:next w:val="a"/>
    <w:link w:val="3Char"/>
    <w:qFormat/>
    <w:rsid w:val="00B33836"/>
    <w:pPr>
      <w:spacing w:beforeAutospacing="1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paragraph" w:styleId="5">
    <w:name w:val="heading 5"/>
    <w:basedOn w:val="a"/>
    <w:next w:val="a"/>
    <w:link w:val="5Char"/>
    <w:uiPriority w:val="9"/>
    <w:qFormat/>
    <w:rsid w:val="00B33836"/>
    <w:pPr>
      <w:keepNext/>
      <w:keepLines/>
      <w:spacing w:before="280" w:after="290" w:line="372" w:lineRule="auto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B33836"/>
    <w:pPr>
      <w:ind w:firstLineChars="200" w:firstLine="420"/>
    </w:pPr>
    <w:rPr>
      <w:rFonts w:ascii="Times New Roman" w:hAnsi="Times New Roman"/>
      <w:sz w:val="32"/>
    </w:rPr>
  </w:style>
  <w:style w:type="paragraph" w:styleId="a4">
    <w:name w:val="Document Map"/>
    <w:basedOn w:val="a"/>
    <w:link w:val="Char"/>
    <w:uiPriority w:val="99"/>
    <w:semiHidden/>
    <w:unhideWhenUsed/>
    <w:qFormat/>
    <w:rsid w:val="00B33836"/>
    <w:rPr>
      <w:rFonts w:ascii="宋体"/>
      <w:sz w:val="18"/>
      <w:szCs w:val="18"/>
    </w:rPr>
  </w:style>
  <w:style w:type="paragraph" w:styleId="a5">
    <w:name w:val="Body Text"/>
    <w:basedOn w:val="a"/>
    <w:link w:val="Char0"/>
    <w:qFormat/>
    <w:rsid w:val="00B33836"/>
    <w:rPr>
      <w:rFonts w:ascii="Times New Roman" w:hAnsi="Times New Roman"/>
      <w:spacing w:val="28"/>
      <w:szCs w:val="24"/>
    </w:rPr>
  </w:style>
  <w:style w:type="paragraph" w:styleId="a6">
    <w:name w:val="Body Text Indent"/>
    <w:basedOn w:val="a"/>
    <w:next w:val="a3"/>
    <w:link w:val="Char1"/>
    <w:qFormat/>
    <w:rsid w:val="00B33836"/>
    <w:pPr>
      <w:spacing w:after="120"/>
      <w:ind w:leftChars="200" w:left="420"/>
    </w:pPr>
    <w:rPr>
      <w:rFonts w:ascii="Times New Roman" w:hAnsi="Times New Roman"/>
      <w:sz w:val="32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B33836"/>
    <w:pPr>
      <w:ind w:leftChars="2500" w:left="100"/>
    </w:pPr>
  </w:style>
  <w:style w:type="paragraph" w:styleId="2">
    <w:name w:val="Body Text Indent 2"/>
    <w:basedOn w:val="a"/>
    <w:link w:val="2Char"/>
    <w:uiPriority w:val="99"/>
    <w:semiHidden/>
    <w:unhideWhenUsed/>
    <w:qFormat/>
    <w:rsid w:val="00B33836"/>
    <w:pPr>
      <w:spacing w:after="120" w:line="480" w:lineRule="auto"/>
      <w:ind w:leftChars="200" w:left="420"/>
    </w:pPr>
  </w:style>
  <w:style w:type="paragraph" w:styleId="a8">
    <w:name w:val="Balloon Text"/>
    <w:basedOn w:val="a"/>
    <w:link w:val="Char3"/>
    <w:uiPriority w:val="99"/>
    <w:semiHidden/>
    <w:unhideWhenUsed/>
    <w:qFormat/>
    <w:rsid w:val="00B33836"/>
    <w:rPr>
      <w:sz w:val="18"/>
      <w:szCs w:val="18"/>
    </w:rPr>
  </w:style>
  <w:style w:type="paragraph" w:styleId="a9">
    <w:name w:val="footer"/>
    <w:basedOn w:val="a"/>
    <w:link w:val="Char4"/>
    <w:unhideWhenUsed/>
    <w:qFormat/>
    <w:rsid w:val="00B338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Char5"/>
    <w:unhideWhenUsed/>
    <w:qFormat/>
    <w:rsid w:val="00B338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qFormat/>
    <w:rsid w:val="00B33836"/>
    <w:rPr>
      <w:sz w:val="32"/>
    </w:rPr>
  </w:style>
  <w:style w:type="paragraph" w:styleId="HTML">
    <w:name w:val="HTML Preformatted"/>
    <w:basedOn w:val="a"/>
    <w:link w:val="HTMLChar"/>
    <w:qFormat/>
    <w:rsid w:val="00B338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80" w:lineRule="exact"/>
      <w:ind w:firstLineChars="200" w:firstLine="960"/>
      <w:jc w:val="left"/>
    </w:pPr>
    <w:rPr>
      <w:rFonts w:ascii="宋体" w:hAnsi="宋体" w:hint="eastAsia"/>
      <w:kern w:val="0"/>
      <w:sz w:val="24"/>
      <w:szCs w:val="24"/>
    </w:rPr>
  </w:style>
  <w:style w:type="paragraph" w:styleId="ab">
    <w:name w:val="Normal (Web)"/>
    <w:basedOn w:val="a"/>
    <w:qFormat/>
    <w:rsid w:val="00B33836"/>
    <w:pPr>
      <w:spacing w:before="100" w:beforeAutospacing="1" w:after="100" w:afterAutospacing="1"/>
      <w:jc w:val="left"/>
    </w:pPr>
    <w:rPr>
      <w:rFonts w:ascii="仿宋_GB2312" w:eastAsia="仿宋_GB2312" w:hAnsi="Times New Roman"/>
      <w:kern w:val="0"/>
      <w:sz w:val="24"/>
      <w:szCs w:val="34"/>
    </w:rPr>
  </w:style>
  <w:style w:type="paragraph" w:styleId="ac">
    <w:name w:val="Body Text First Indent"/>
    <w:basedOn w:val="a5"/>
    <w:link w:val="Char6"/>
    <w:qFormat/>
    <w:rsid w:val="00B33836"/>
    <w:pPr>
      <w:spacing w:after="120"/>
      <w:ind w:firstLineChars="100" w:firstLine="420"/>
    </w:pPr>
    <w:rPr>
      <w:spacing w:val="0"/>
      <w:sz w:val="32"/>
      <w:szCs w:val="22"/>
    </w:rPr>
  </w:style>
  <w:style w:type="paragraph" w:styleId="20">
    <w:name w:val="Body Text First Indent 2"/>
    <w:basedOn w:val="a6"/>
    <w:next w:val="a"/>
    <w:link w:val="2Char0"/>
    <w:qFormat/>
    <w:rsid w:val="00B33836"/>
    <w:pPr>
      <w:spacing w:line="600" w:lineRule="exact"/>
      <w:ind w:leftChars="0" w:left="0" w:firstLineChars="200" w:firstLine="1960"/>
    </w:pPr>
    <w:rPr>
      <w:rFonts w:ascii="Calibri" w:eastAsia="仿宋_GB2312" w:hAnsi="Calibri" w:cs="Calibri"/>
      <w:szCs w:val="21"/>
    </w:rPr>
  </w:style>
  <w:style w:type="table" w:styleId="ad">
    <w:name w:val="Table Grid"/>
    <w:basedOn w:val="a1"/>
    <w:qFormat/>
    <w:rsid w:val="00B338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qFormat/>
    <w:rsid w:val="00B33836"/>
    <w:rPr>
      <w:b/>
    </w:rPr>
  </w:style>
  <w:style w:type="character" w:styleId="af">
    <w:name w:val="page number"/>
    <w:basedOn w:val="a0"/>
    <w:qFormat/>
    <w:rsid w:val="00B33836"/>
  </w:style>
  <w:style w:type="character" w:styleId="af0">
    <w:name w:val="Hyperlink"/>
    <w:semiHidden/>
    <w:qFormat/>
    <w:rsid w:val="00B33836"/>
    <w:rPr>
      <w:rFonts w:cs="Times New Roman"/>
      <w:color w:val="0000FF"/>
      <w:u w:val="single"/>
    </w:rPr>
  </w:style>
  <w:style w:type="character" w:customStyle="1" w:styleId="Char5">
    <w:name w:val="页眉 Char"/>
    <w:basedOn w:val="a0"/>
    <w:link w:val="aa"/>
    <w:uiPriority w:val="99"/>
    <w:semiHidden/>
    <w:qFormat/>
    <w:rsid w:val="00B33836"/>
    <w:rPr>
      <w:sz w:val="18"/>
      <w:szCs w:val="18"/>
    </w:rPr>
  </w:style>
  <w:style w:type="character" w:customStyle="1" w:styleId="Char4">
    <w:name w:val="页脚 Char"/>
    <w:basedOn w:val="a0"/>
    <w:link w:val="a9"/>
    <w:uiPriority w:val="99"/>
    <w:qFormat/>
    <w:rsid w:val="00B33836"/>
    <w:rPr>
      <w:sz w:val="18"/>
      <w:szCs w:val="18"/>
    </w:rPr>
  </w:style>
  <w:style w:type="paragraph" w:customStyle="1" w:styleId="11">
    <w:name w:val="列出段落1"/>
    <w:basedOn w:val="a"/>
    <w:qFormat/>
    <w:rsid w:val="00B33836"/>
    <w:pPr>
      <w:ind w:firstLineChars="200" w:firstLine="420"/>
    </w:pPr>
    <w:rPr>
      <w:rFonts w:ascii="Times New Roman"/>
      <w:szCs w:val="24"/>
    </w:rPr>
  </w:style>
  <w:style w:type="character" w:customStyle="1" w:styleId="fontstyle31">
    <w:name w:val="fontstyle31"/>
    <w:qFormat/>
    <w:rsid w:val="00B33836"/>
    <w:rPr>
      <w:rFonts w:ascii="仿宋_GB2312" w:eastAsia="仿宋_GB2312" w:hint="eastAsia"/>
      <w:color w:val="000000"/>
      <w:sz w:val="32"/>
      <w:szCs w:val="32"/>
    </w:rPr>
  </w:style>
  <w:style w:type="character" w:customStyle="1" w:styleId="fontstyle01">
    <w:name w:val="fontstyle01"/>
    <w:qFormat/>
    <w:rsid w:val="00B33836"/>
    <w:rPr>
      <w:rFonts w:ascii="华文中宋" w:eastAsia="华文中宋" w:hAnsi="华文中宋" w:hint="eastAsia"/>
      <w:color w:val="000000"/>
      <w:sz w:val="44"/>
      <w:szCs w:val="44"/>
    </w:rPr>
  </w:style>
  <w:style w:type="character" w:customStyle="1" w:styleId="Char0">
    <w:name w:val="正文文本 Char"/>
    <w:basedOn w:val="a0"/>
    <w:link w:val="a5"/>
    <w:qFormat/>
    <w:rsid w:val="00B33836"/>
    <w:rPr>
      <w:rFonts w:ascii="Times New Roman" w:hAnsi="Times New Roman"/>
      <w:spacing w:val="28"/>
      <w:kern w:val="2"/>
      <w:sz w:val="21"/>
      <w:szCs w:val="24"/>
    </w:rPr>
  </w:style>
  <w:style w:type="paragraph" w:customStyle="1" w:styleId="Default">
    <w:name w:val="Default"/>
    <w:qFormat/>
    <w:rsid w:val="00B33836"/>
    <w:pPr>
      <w:widowControl w:val="0"/>
      <w:autoSpaceDE w:val="0"/>
      <w:autoSpaceDN w:val="0"/>
      <w:adjustRightInd w:val="0"/>
    </w:pPr>
    <w:rPr>
      <w:rFonts w:ascii="黑体" w:hAnsi="黑体" w:cs="黑体"/>
      <w:color w:val="000000"/>
      <w:sz w:val="24"/>
      <w:szCs w:val="24"/>
    </w:rPr>
  </w:style>
  <w:style w:type="paragraph" w:customStyle="1" w:styleId="af1">
    <w:name w:val="引言二级条标题"/>
    <w:basedOn w:val="a"/>
    <w:next w:val="a"/>
    <w:qFormat/>
    <w:rsid w:val="00B33836"/>
    <w:pPr>
      <w:widowControl/>
    </w:pPr>
    <w:rPr>
      <w:rFonts w:ascii="Times New Roman" w:hAnsi="Times New Roman"/>
      <w:sz w:val="32"/>
      <w:szCs w:val="24"/>
    </w:rPr>
  </w:style>
  <w:style w:type="paragraph" w:customStyle="1" w:styleId="12">
    <w:name w:val="无间隔1"/>
    <w:basedOn w:val="a"/>
    <w:qFormat/>
    <w:rsid w:val="00B33836"/>
    <w:pPr>
      <w:spacing w:before="100" w:beforeAutospacing="1" w:after="100" w:afterAutospacing="1"/>
      <w:jc w:val="left"/>
    </w:pPr>
    <w:rPr>
      <w:rFonts w:ascii="黑体" w:eastAsia="黑体"/>
      <w:szCs w:val="32"/>
    </w:rPr>
  </w:style>
  <w:style w:type="character" w:customStyle="1" w:styleId="HTMLChar">
    <w:name w:val="HTML 预设格式 Char"/>
    <w:basedOn w:val="a0"/>
    <w:link w:val="HTML"/>
    <w:qFormat/>
    <w:rsid w:val="00B33836"/>
    <w:rPr>
      <w:rFonts w:ascii="宋体" w:hAnsi="宋体"/>
      <w:sz w:val="24"/>
      <w:szCs w:val="24"/>
    </w:rPr>
  </w:style>
  <w:style w:type="character" w:customStyle="1" w:styleId="Char2">
    <w:name w:val="日期 Char"/>
    <w:basedOn w:val="a0"/>
    <w:link w:val="a7"/>
    <w:uiPriority w:val="99"/>
    <w:semiHidden/>
    <w:qFormat/>
    <w:rsid w:val="00B33836"/>
    <w:rPr>
      <w:kern w:val="2"/>
      <w:sz w:val="21"/>
      <w:szCs w:val="22"/>
    </w:rPr>
  </w:style>
  <w:style w:type="character" w:customStyle="1" w:styleId="1Char">
    <w:name w:val="标题 1 Char"/>
    <w:basedOn w:val="a0"/>
    <w:link w:val="1"/>
    <w:qFormat/>
    <w:rsid w:val="00B33836"/>
    <w:rPr>
      <w:rFonts w:eastAsia="方正小标宋简体"/>
      <w:kern w:val="44"/>
      <w:sz w:val="44"/>
      <w:szCs w:val="22"/>
    </w:rPr>
  </w:style>
  <w:style w:type="character" w:customStyle="1" w:styleId="3Char">
    <w:name w:val="标题 3 Char"/>
    <w:basedOn w:val="a0"/>
    <w:link w:val="3"/>
    <w:qFormat/>
    <w:rsid w:val="00B33836"/>
    <w:rPr>
      <w:rFonts w:ascii="宋体" w:hAnsi="宋体" w:cs="宋体"/>
      <w:b/>
      <w:sz w:val="27"/>
      <w:szCs w:val="27"/>
    </w:rPr>
  </w:style>
  <w:style w:type="character" w:customStyle="1" w:styleId="5Char">
    <w:name w:val="标题 5 Char"/>
    <w:basedOn w:val="a0"/>
    <w:link w:val="5"/>
    <w:uiPriority w:val="9"/>
    <w:qFormat/>
    <w:rsid w:val="00B33836"/>
    <w:rPr>
      <w:rFonts w:ascii="Times New Roman" w:hAnsi="Times New Roman"/>
      <w:b/>
      <w:kern w:val="2"/>
      <w:sz w:val="28"/>
      <w:szCs w:val="22"/>
    </w:rPr>
  </w:style>
  <w:style w:type="character" w:customStyle="1" w:styleId="Char1">
    <w:name w:val="正文文本缩进 Char"/>
    <w:basedOn w:val="a0"/>
    <w:link w:val="a6"/>
    <w:qFormat/>
    <w:rsid w:val="00B33836"/>
    <w:rPr>
      <w:rFonts w:ascii="Times New Roman" w:hAnsi="Times New Roman"/>
      <w:kern w:val="2"/>
      <w:sz w:val="32"/>
      <w:szCs w:val="22"/>
    </w:rPr>
  </w:style>
  <w:style w:type="character" w:customStyle="1" w:styleId="Char6">
    <w:name w:val="正文首行缩进 Char"/>
    <w:basedOn w:val="Char0"/>
    <w:link w:val="ac"/>
    <w:qFormat/>
    <w:rsid w:val="00B33836"/>
    <w:rPr>
      <w:sz w:val="32"/>
      <w:szCs w:val="22"/>
    </w:rPr>
  </w:style>
  <w:style w:type="character" w:customStyle="1" w:styleId="2Char0">
    <w:name w:val="正文首行缩进 2 Char"/>
    <w:basedOn w:val="Char1"/>
    <w:link w:val="20"/>
    <w:qFormat/>
    <w:rsid w:val="00B33836"/>
    <w:rPr>
      <w:rFonts w:eastAsia="仿宋_GB2312" w:cs="Calibri"/>
      <w:szCs w:val="21"/>
    </w:rPr>
  </w:style>
  <w:style w:type="paragraph" w:customStyle="1" w:styleId="21">
    <w:name w:val="样式2"/>
    <w:basedOn w:val="a"/>
    <w:qFormat/>
    <w:rsid w:val="00B33836"/>
    <w:rPr>
      <w:rFonts w:eastAsia="仿宋_GB2312"/>
      <w:sz w:val="32"/>
    </w:rPr>
  </w:style>
  <w:style w:type="paragraph" w:customStyle="1" w:styleId="13">
    <w:name w:val="样式1"/>
    <w:basedOn w:val="a"/>
    <w:next w:val="a"/>
    <w:qFormat/>
    <w:rsid w:val="00B33836"/>
  </w:style>
  <w:style w:type="paragraph" w:customStyle="1" w:styleId="30">
    <w:name w:val="样式3"/>
    <w:basedOn w:val="20"/>
    <w:qFormat/>
    <w:rsid w:val="00B33836"/>
  </w:style>
  <w:style w:type="character" w:customStyle="1" w:styleId="Char3">
    <w:name w:val="批注框文本 Char"/>
    <w:basedOn w:val="a0"/>
    <w:link w:val="a8"/>
    <w:uiPriority w:val="99"/>
    <w:semiHidden/>
    <w:qFormat/>
    <w:rsid w:val="00B33836"/>
    <w:rPr>
      <w:kern w:val="2"/>
      <w:sz w:val="18"/>
      <w:szCs w:val="18"/>
    </w:rPr>
  </w:style>
  <w:style w:type="paragraph" w:customStyle="1" w:styleId="af2">
    <w:name w:val="段"/>
    <w:qFormat/>
    <w:rsid w:val="00B33836"/>
    <w:pPr>
      <w:ind w:left="840" w:firstLineChars="200" w:firstLine="200"/>
      <w:jc w:val="both"/>
    </w:pPr>
    <w:rPr>
      <w:rFonts w:ascii="宋体" w:hAnsi="Times New Roman"/>
      <w:sz w:val="21"/>
      <w:szCs w:val="22"/>
    </w:rPr>
  </w:style>
  <w:style w:type="paragraph" w:customStyle="1" w:styleId="BodyTextIndent2">
    <w:name w:val="BodyTextIndent2"/>
    <w:qFormat/>
    <w:rsid w:val="00B33836"/>
    <w:pPr>
      <w:widowControl w:val="0"/>
      <w:ind w:firstLine="570"/>
      <w:jc w:val="both"/>
    </w:pPr>
    <w:rPr>
      <w:rFonts w:asciiTheme="minorHAnsi" w:eastAsiaTheme="minorEastAsia" w:hAnsiTheme="minorHAnsi" w:cstheme="minorBidi"/>
      <w:kern w:val="2"/>
      <w:sz w:val="28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B33836"/>
    <w:rPr>
      <w:kern w:val="2"/>
      <w:sz w:val="21"/>
      <w:szCs w:val="22"/>
    </w:rPr>
  </w:style>
  <w:style w:type="character" w:customStyle="1" w:styleId="NormalCharacter">
    <w:name w:val="NormalCharacter"/>
    <w:qFormat/>
    <w:rsid w:val="00B33836"/>
    <w:rPr>
      <w:rFonts w:ascii="Calibri" w:eastAsia="宋体" w:hAnsi="Calibri" w:cs="Times New Roman"/>
      <w:lang w:val="en-US" w:eastAsia="zh-CN" w:bidi="ar-SA"/>
    </w:rPr>
  </w:style>
  <w:style w:type="paragraph" w:customStyle="1" w:styleId="p0">
    <w:name w:val="p0"/>
    <w:basedOn w:val="a"/>
    <w:qFormat/>
    <w:rsid w:val="00B33836"/>
    <w:pPr>
      <w:widowControl/>
      <w:spacing w:line="365" w:lineRule="atLeast"/>
      <w:ind w:left="1"/>
    </w:pPr>
    <w:rPr>
      <w:kern w:val="0"/>
      <w:sz w:val="20"/>
      <w:szCs w:val="20"/>
    </w:rPr>
  </w:style>
  <w:style w:type="paragraph" w:customStyle="1" w:styleId="Char10">
    <w:name w:val="Char1"/>
    <w:basedOn w:val="a"/>
    <w:qFormat/>
    <w:rsid w:val="00B33836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Char7">
    <w:name w:val="Char"/>
    <w:next w:val="11"/>
    <w:qFormat/>
    <w:rsid w:val="00B33836"/>
    <w:pPr>
      <w:shd w:val="clear" w:color="auto" w:fill="000080"/>
      <w:spacing w:line="360" w:lineRule="auto"/>
      <w:ind w:firstLineChars="200" w:firstLine="480"/>
    </w:pPr>
    <w:rPr>
      <w:rFonts w:ascii="Tahoma" w:hAnsi="Tahoma"/>
      <w:sz w:val="24"/>
      <w:szCs w:val="21"/>
    </w:rPr>
  </w:style>
  <w:style w:type="character" w:customStyle="1" w:styleId="Char">
    <w:name w:val="文档结构图 Char"/>
    <w:basedOn w:val="a0"/>
    <w:link w:val="a4"/>
    <w:uiPriority w:val="99"/>
    <w:semiHidden/>
    <w:qFormat/>
    <w:rsid w:val="00B33836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3F0577-B063-4718-A80B-1592724E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1405</Words>
  <Characters>8011</Characters>
  <Application>Microsoft Office Word</Application>
  <DocSecurity>0</DocSecurity>
  <Lines>66</Lines>
  <Paragraphs>18</Paragraphs>
  <ScaleCrop>false</ScaleCrop>
  <Company>China</Company>
  <LinksUpToDate>false</LinksUpToDate>
  <CharactersWithSpaces>9398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cp:lastPrinted>2025-02-07T01:42:00Z</cp:lastPrinted>
  <dcterms:created xsi:type="dcterms:W3CDTF">2025-02-07T01:43:00Z</dcterms:created>
  <dcterms:modified xsi:type="dcterms:W3CDTF">2025-02-07T01:43:00Z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