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HYDR-2026-0010002</w:t>
      </w:r>
    </w:p>
    <w:p>
      <w:pPr>
        <w:rPr>
          <w:rFonts w:hint="eastAsia" w:ascii="黑体" w:hAnsi="黑体" w:eastAsia="黑体"/>
          <w:w w:val="90"/>
          <w:sz w:val="32"/>
          <w:szCs w:val="32"/>
        </w:rPr>
      </w:pPr>
    </w:p>
    <w:p>
      <w:pPr>
        <w:rPr>
          <w:rFonts w:ascii="黑体" w:hAnsi="黑体" w:eastAsia="黑体"/>
          <w:w w:val="90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color w:val="FF0000"/>
          <w:spacing w:val="-24"/>
          <w:w w:val="90"/>
          <w:sz w:val="104"/>
          <w:szCs w:val="104"/>
        </w:rPr>
      </w:pPr>
      <w:r>
        <w:rPr>
          <w:rFonts w:hint="eastAsia" w:ascii="方正小标宋简体" w:eastAsia="方正小标宋简体"/>
          <w:color w:val="FF0000"/>
          <w:spacing w:val="-24"/>
          <w:w w:val="90"/>
          <w:sz w:val="104"/>
          <w:szCs w:val="104"/>
        </w:rPr>
        <w:t>海阳市人民政府文件</w:t>
      </w:r>
    </w:p>
    <w:p>
      <w:pPr>
        <w:spacing w:after="0" w:line="600" w:lineRule="exact"/>
        <w:jc w:val="center"/>
        <w:rPr>
          <w:rFonts w:ascii="方正小标宋简体" w:eastAsia="方正小标宋简体"/>
          <w:sz w:val="32"/>
          <w:szCs w:val="32"/>
        </w:rPr>
      </w:pPr>
    </w:p>
    <w:p>
      <w:pPr>
        <w:spacing w:line="600" w:lineRule="exact"/>
        <w:jc w:val="center"/>
        <w:rPr>
          <w:rFonts w:ascii="仿宋_GB2312" w:eastAsia="仿宋_GB2312"/>
          <w:color w:val="FFFFFF" w:themeColor="background1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海政发〔2026〕7号</w:t>
      </w:r>
      <w:r>
        <w:rPr>
          <w:rFonts w:hint="eastAsia" w:ascii="仿宋_GB2312" w:eastAsia="仿宋_GB2312"/>
          <w:color w:val="FFFFFF" w:themeColor="background1"/>
          <w:sz w:val="32"/>
          <w:szCs w:val="32"/>
        </w:rPr>
        <w:t>政发</w:t>
      </w:r>
    </w:p>
    <w:p>
      <w:pPr>
        <w:tabs>
          <w:tab w:val="center" w:pos="4422"/>
          <w:tab w:val="right" w:pos="8844"/>
        </w:tabs>
        <w:spacing w:line="600" w:lineRule="exact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eastAsia="方正小标宋简体"/>
          <w:sz w:val="32"/>
          <w:szCs w:val="32"/>
        </w:rPr>
        <w:pict>
          <v:shape id="_x0000_s1026" o:spid="_x0000_s1026" o:spt="32" type="#_x0000_t32" style="position:absolute;left:0pt;margin-left:0pt;margin-top:9.3pt;height:0pt;width:442.2pt;mso-position-horizontal-relative:margin;z-index:-251656192;mso-width-relative:page;mso-height-relative:page;" filled="f" stroked="t" coordsize="21600,21600" o:gfxdata="UEsFBgAAAAAAAAAAAAAAAAAAAAAAAFBLAwQKAAAAAACHTuJAAAAAAAAAAAAAAAAABAAAAGRycy9Q&#10;SwMEFAAAAAgAh07iQCA4derTAAAABgEAAA8AAABkcnMvZG93bnJldi54bWxNj8FOwzAQRO9I/Qdr&#10;kbhRp1VUhRCnQm05gUA0iLMbL0lEvDa205a/ZxEHOM7MauZttT7bURwxxMGRgsU8A4HUOjNQp+C1&#10;ub8uQMSkyejRESr4wgjrenZR6dK4E73gcZ86wSUUS62gT8mXUsa2R6vj3Hkkzt5dsDqxDJ00QZ+4&#10;3I5ymWUrafVAvNBrj5se24/9ZBXkb0/eu922eb7b3TTG4cP0+BmUurpcZLcgEp7T3zH84DM61Mx0&#10;cBOZKEYF/Ehit1iB4LQo8hzE4deQdSX/49ffUEsDBBQAAAAIAIdO4kD2/r6f3AEAAJYDAAAOAAAA&#10;ZHJzL2Uyb0RvYy54bWytU0uOEzEQ3SNxB8t70p2IjJhWOrNICBsEkYADVGx3tyX/5DLpZMcOcQZ2&#10;LLkD3GYkuAVlJ5Phs0GIXrjLrqpX9Z7Li5uDNWyvImrvWj6d1JwpJ7zUrm/5m9ebR084wwROgvFO&#10;tfyokN8sHz5YjKFRMz94I1VkBOKwGUPLh5RCU1UoBmUBJz4oR87ORwuJtrGvZISR0K2pZnV9VY0+&#10;yhC9UIh0uj45+bLgd50S6WXXoUrMtJx6S2WNZd3ltVouoOkjhEGLcxvwD11Y0I6KXqDWkIC9jfoP&#10;KKtF9Oi7NBHeVr7rtFCFA7GZ1r+xeTVAUIULiYPhIhP+P1jxYr+NTMuWzzhzYOmKvr3//P3dh9uP&#10;X2+/fGKzrNAYsKHAldvG8w7DNma6hy7a/Cci7FBUPV5UVYfEBB3Or6bz68ckvrjzVfeJIWJ6prxl&#10;2Wg5pgi6H9LKO0d35+O0qAr755ioNCXeJeSqxrGRhu66nmd0oPHpDCQybSBC6PqSjN5oudHG5BSM&#10;/W5lItsDDcRmU9OXGRLwL2G5yhpwOMUV12lUBgXyqZMsHQNJ5Wimee7BKsmZUfQEskWA0CTQ5m8i&#10;qbRx1EEW+SRrtnZeHova5Zwuv/R4HtQ8XT/vS/b9c1r+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BYAAABkcnMvUEsBAhQAFAAAAAgAh07i&#10;QCA4derTAAAABgEAAA8AAAAAAAAAAQAgAAAAOAAAAGRycy9kb3ducmV2LnhtbFBLAQIUABQAAAAI&#10;AIdO4kD2/r6f3AEAAJYDAAAOAAAAAAAAAAEAIAAAADgBAABkcnMvZTJvRG9jLnhtbFBLBQYAAAAA&#10;BgAGAFkBAACGBQAAAAA=&#10;">
            <v:path arrowok="t"/>
            <v:fill on="f" focussize="0,0"/>
            <v:stroke weight="1.5pt" color="#FF0000" joinstyle="round"/>
            <v:imagedata o:title=""/>
            <o:lock v:ext="edit" aspectratio="f"/>
          </v:shape>
        </w:pict>
      </w:r>
      <w:r>
        <w:rPr>
          <w:rFonts w:ascii="方正小标宋简体" w:eastAsia="方正小标宋简体"/>
          <w:sz w:val="32"/>
          <w:szCs w:val="32"/>
        </w:rPr>
        <w:tab/>
      </w:r>
      <w:bookmarkStart w:id="0" w:name="_Hlk44661710"/>
      <w:bookmarkEnd w:id="0"/>
      <w:bookmarkStart w:id="3" w:name="_GoBack"/>
      <w:bookmarkEnd w:id="3"/>
    </w:p>
    <w:p>
      <w:pPr>
        <w:overflowPunct w:val="0"/>
        <w:spacing w:line="600" w:lineRule="exact"/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海阳市人民政府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关于印发海阳市烟花爆竹禁止燃放区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划分方案的通知</w:t>
      </w: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ascii="仿宋_GB2312" w:hAnsi="仿宋_GB2312" w:eastAsia="仿宋_GB2312" w:cs="仿宋_GB2312"/>
          <w:color w:val="404040"/>
          <w:spacing w:val="-10"/>
          <w:sz w:val="32"/>
          <w:szCs w:val="32"/>
          <w:highlight w:val="yellow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04040"/>
          <w:spacing w:val="-10"/>
          <w:sz w:val="32"/>
          <w:szCs w:val="32"/>
          <w:shd w:val="clear" w:color="auto" w:fill="FFFFFF"/>
        </w:rPr>
        <w:t>各镇区街道政府（管委、办事处），市人民政府有关部门，有关单位：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40404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04040"/>
          <w:sz w:val="32"/>
          <w:szCs w:val="32"/>
          <w:shd w:val="clear" w:color="auto" w:fill="FFFFFF"/>
        </w:rPr>
        <w:t>《海阳市烟花爆竹禁止燃放区划分方案》已经市政府同意，现印发给你们，请认真贯彻执行。</w:t>
      </w: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海阳市人民政府</w:t>
      </w:r>
    </w:p>
    <w:p>
      <w:pPr>
        <w:spacing w:line="60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2026年9月22日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（此件公开发布）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center"/>
        <w:rPr>
          <w:rFonts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海阳市烟花爆竹禁止燃放区划分方案</w:t>
      </w:r>
    </w:p>
    <w:p>
      <w:pPr>
        <w:overflowPunct w:val="0"/>
        <w:spacing w:line="600" w:lineRule="exact"/>
        <w:ind w:firstLine="883" w:firstLineChars="200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overflowPunct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加强烟花爆竹安全管理，保障公共安全和公民人身、财产安全，降低火灾风险，减少大气和噪音污染，根据《中华人民共和国生态环境法典》《中华人民共和国治安管理处罚法》《烟花爆竹安全管理条例》和《烟台市燃放烟花爆竹管理条例》等规定，结合本地实际，对我市烟花爆竹禁止燃放区划分方案如下：</w:t>
      </w:r>
    </w:p>
    <w:p>
      <w:pPr>
        <w:overflowPunct w:val="0"/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一、本市行政区域内，下列四至区域内禁止燃放烟花爆竹。</w:t>
      </w:r>
    </w:p>
    <w:p>
      <w:pPr>
        <w:overflowPunct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北至：东凤大道北路与虎山街交叉点－东凤大道北路－海园路－盛竹路－秋林中路－方圆路－海阳路－</w:t>
      </w:r>
      <w:bookmarkStart w:id="1" w:name="OLE_LINK2"/>
      <w:bookmarkStart w:id="2" w:name="OLE_LINK1"/>
      <w:r>
        <w:rPr>
          <w:rFonts w:hint="eastAsia" w:ascii="仿宋_GB2312" w:hAnsi="仿宋_GB2312" w:eastAsia="仿宋_GB2312" w:cs="仿宋_GB2312"/>
          <w:sz w:val="32"/>
          <w:szCs w:val="32"/>
        </w:rPr>
        <w:t>海阳路与山海路交叉点</w:t>
      </w:r>
      <w:bookmarkEnd w:id="1"/>
      <w:bookmarkEnd w:id="2"/>
      <w:r>
        <w:rPr>
          <w:rFonts w:hint="eastAsia" w:ascii="仿宋_GB2312" w:hAnsi="仿宋_GB2312" w:eastAsia="仿宋_GB2312" w:cs="仿宋_GB2312"/>
          <w:sz w:val="32"/>
          <w:szCs w:val="32"/>
        </w:rPr>
        <w:t>（按顺时针起）</w:t>
      </w:r>
    </w:p>
    <w:p>
      <w:pPr>
        <w:overflowPunct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东至：海阳路与山海路交叉点－山海路－东凤大道中路－东凤大道南路－凤阳路－凤凰路－龙港街－海景路－益港路南延与海岸线交叉点（按顺时针起）</w:t>
      </w:r>
    </w:p>
    <w:p>
      <w:pPr>
        <w:overflowPunct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南至：益港路南延与海岸线交叉点－海岸线－北京路与海岸线交叉点（含河清岛体育场、鉴湖）（按顺时针起）</w:t>
      </w:r>
    </w:p>
    <w:p>
      <w:pPr>
        <w:overflowPunct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西至：海岸线与北京路交叉点－北京路－海瑞路－香河街－海平路－宏达街－海天路－海阳路-公园街（含北山公园）－龙山街－虎山街－虎山街与东凤大道北路交叉点（按顺时针起）</w:t>
      </w:r>
    </w:p>
    <w:p>
      <w:pPr>
        <w:overflowPunct w:val="0"/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二、烟花爆竹禁止燃放区范围内，禁止销售、储存、燃放烟花爆竹。</w:t>
      </w:r>
    </w:p>
    <w:p>
      <w:pPr>
        <w:overflowPunct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三、禁止燃放区以外的区域为一般管理区。</w:t>
      </w:r>
    </w:p>
    <w:p>
      <w:pPr>
        <w:overflowPunct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一般管理区内，禁止在下列区域或者场所燃放烟花爆竹： </w:t>
      </w:r>
    </w:p>
    <w:p>
      <w:pPr>
        <w:pStyle w:val="18"/>
        <w:widowControl/>
        <w:shd w:val="clear" w:color="auto" w:fill="FFFFFF"/>
        <w:overflowPunct w:val="0"/>
        <w:spacing w:before="0" w:beforeAutospacing="0" w:after="0" w:afterAutospacing="0" w:line="600" w:lineRule="exact"/>
        <w:ind w:firstLine="640" w:firstLineChars="200"/>
        <w:jc w:val="both"/>
        <w:rPr>
          <w:rFonts w:hAnsi="仿宋_GB2312" w:cs="仿宋_GB2312"/>
          <w:color w:val="000000"/>
          <w:sz w:val="32"/>
          <w:szCs w:val="32"/>
        </w:rPr>
      </w:pPr>
      <w:r>
        <w:rPr>
          <w:rFonts w:hint="eastAsia" w:hAnsi="仿宋_GB2312" w:cs="仿宋_GB2312"/>
          <w:color w:val="000000"/>
          <w:sz w:val="32"/>
          <w:szCs w:val="32"/>
          <w:shd w:val="clear" w:color="auto" w:fill="FFFFFF"/>
        </w:rPr>
        <w:t>(一)文物保护单位、党政机关、医疗机构、养老机构、幼儿园、中小学校;</w:t>
      </w:r>
    </w:p>
    <w:p>
      <w:pPr>
        <w:pStyle w:val="18"/>
        <w:widowControl/>
        <w:shd w:val="clear" w:color="auto" w:fill="FFFFFF"/>
        <w:overflowPunct w:val="0"/>
        <w:spacing w:before="0" w:beforeAutospacing="0" w:after="0" w:afterAutospacing="0" w:line="600" w:lineRule="exact"/>
        <w:ind w:firstLine="640" w:firstLineChars="200"/>
        <w:jc w:val="both"/>
        <w:rPr>
          <w:rFonts w:hAnsi="仿宋_GB2312" w:cs="仿宋_GB2312"/>
          <w:color w:val="000000"/>
          <w:sz w:val="32"/>
          <w:szCs w:val="32"/>
        </w:rPr>
      </w:pPr>
      <w:r>
        <w:rPr>
          <w:rFonts w:hint="eastAsia" w:hAnsi="仿宋_GB2312" w:cs="仿宋_GB2312"/>
          <w:color w:val="000000"/>
          <w:sz w:val="32"/>
          <w:szCs w:val="32"/>
          <w:shd w:val="clear" w:color="auto" w:fill="FFFFFF"/>
        </w:rPr>
        <w:t>(二)高架路、过街天桥、立交桥、隧道、地下管道、窨井;</w:t>
      </w:r>
    </w:p>
    <w:p>
      <w:pPr>
        <w:pStyle w:val="18"/>
        <w:widowControl/>
        <w:shd w:val="clear" w:color="auto" w:fill="FFFFFF"/>
        <w:overflowPunct w:val="0"/>
        <w:spacing w:before="0" w:beforeAutospacing="0" w:after="0" w:afterAutospacing="0" w:line="600" w:lineRule="exact"/>
        <w:ind w:firstLine="640" w:firstLineChars="200"/>
        <w:jc w:val="both"/>
        <w:rPr>
          <w:rFonts w:hAnsi="仿宋_GB2312" w:cs="仿宋_GB2312"/>
          <w:color w:val="000000"/>
          <w:sz w:val="32"/>
          <w:szCs w:val="32"/>
        </w:rPr>
      </w:pPr>
      <w:r>
        <w:rPr>
          <w:rFonts w:hint="eastAsia" w:hAnsi="仿宋_GB2312" w:cs="仿宋_GB2312"/>
          <w:color w:val="000000"/>
          <w:sz w:val="32"/>
          <w:szCs w:val="32"/>
          <w:shd w:val="clear" w:color="auto" w:fill="FFFFFF"/>
        </w:rPr>
        <w:t>(三)民用建筑的公共走廊、楼梯、屋顶、阳台、窗口；</w:t>
      </w:r>
    </w:p>
    <w:p>
      <w:pPr>
        <w:pStyle w:val="18"/>
        <w:widowControl/>
        <w:shd w:val="clear" w:color="auto" w:fill="FFFFFF"/>
        <w:overflowPunct w:val="0"/>
        <w:spacing w:before="0" w:beforeAutospacing="0" w:after="0" w:afterAutospacing="0" w:line="600" w:lineRule="exact"/>
        <w:ind w:firstLine="640" w:firstLineChars="200"/>
        <w:jc w:val="both"/>
        <w:rPr>
          <w:rFonts w:hAnsi="仿宋_GB2312" w:cs="仿宋_GB2312"/>
          <w:color w:val="000000"/>
          <w:sz w:val="32"/>
          <w:szCs w:val="32"/>
        </w:rPr>
      </w:pPr>
      <w:r>
        <w:rPr>
          <w:rFonts w:hint="eastAsia" w:hAnsi="仿宋_GB2312" w:cs="仿宋_GB2312"/>
          <w:color w:val="000000"/>
          <w:sz w:val="32"/>
          <w:szCs w:val="32"/>
          <w:shd w:val="clear" w:color="auto" w:fill="FFFFFF"/>
        </w:rPr>
        <w:t>(四)车站、码头、飞机场、宾馆、酒店、商场、集贸市场、公共文化设施、宗教活动场所;</w:t>
      </w:r>
    </w:p>
    <w:p>
      <w:pPr>
        <w:pStyle w:val="18"/>
        <w:widowControl/>
        <w:shd w:val="clear" w:color="auto" w:fill="FFFFFF"/>
        <w:overflowPunct w:val="0"/>
        <w:spacing w:before="0" w:beforeAutospacing="0" w:after="0" w:afterAutospacing="0" w:line="600" w:lineRule="exact"/>
        <w:ind w:firstLine="640" w:firstLineChars="200"/>
        <w:jc w:val="both"/>
        <w:rPr>
          <w:rFonts w:hAnsi="仿宋_GB2312" w:cs="仿宋_GB2312"/>
          <w:color w:val="000000"/>
          <w:sz w:val="32"/>
          <w:szCs w:val="32"/>
        </w:rPr>
      </w:pPr>
      <w:r>
        <w:rPr>
          <w:rFonts w:hint="eastAsia" w:hAnsi="仿宋_GB2312" w:cs="仿宋_GB2312"/>
          <w:color w:val="000000"/>
          <w:sz w:val="32"/>
          <w:szCs w:val="32"/>
          <w:shd w:val="clear" w:color="auto" w:fill="FFFFFF"/>
        </w:rPr>
        <w:t>(五)输变电、燃气、燃油等能源设施安全保护区内;</w:t>
      </w:r>
    </w:p>
    <w:p>
      <w:pPr>
        <w:pStyle w:val="18"/>
        <w:widowControl/>
        <w:shd w:val="clear" w:color="auto" w:fill="FFFFFF"/>
        <w:overflowPunct w:val="0"/>
        <w:spacing w:before="0" w:beforeAutospacing="0" w:after="0" w:afterAutospacing="0" w:line="600" w:lineRule="exact"/>
        <w:ind w:firstLine="640" w:firstLineChars="200"/>
        <w:jc w:val="both"/>
        <w:rPr>
          <w:rFonts w:hAnsi="仿宋_GB2312" w:cs="仿宋_GB2312"/>
          <w:color w:val="000000"/>
          <w:sz w:val="32"/>
          <w:szCs w:val="32"/>
        </w:rPr>
      </w:pPr>
      <w:r>
        <w:rPr>
          <w:rFonts w:hint="eastAsia" w:hAnsi="仿宋_GB2312" w:cs="仿宋_GB2312"/>
          <w:color w:val="000000"/>
          <w:sz w:val="32"/>
          <w:szCs w:val="32"/>
          <w:shd w:val="clear" w:color="auto" w:fill="FFFFFF"/>
        </w:rPr>
        <w:t>(六)大型仓库、停车场；</w:t>
      </w:r>
    </w:p>
    <w:p>
      <w:pPr>
        <w:pStyle w:val="18"/>
        <w:widowControl/>
        <w:shd w:val="clear" w:color="auto" w:fill="FFFFFF"/>
        <w:overflowPunct w:val="0"/>
        <w:spacing w:before="0" w:beforeAutospacing="0" w:after="0" w:afterAutospacing="0" w:line="600" w:lineRule="exact"/>
        <w:ind w:firstLine="640" w:firstLineChars="200"/>
        <w:jc w:val="both"/>
        <w:rPr>
          <w:rFonts w:hAnsi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hAnsi="仿宋_GB2312" w:cs="仿宋_GB2312"/>
          <w:color w:val="000000"/>
          <w:sz w:val="32"/>
          <w:szCs w:val="32"/>
          <w:shd w:val="clear" w:color="auto" w:fill="FFFFFF"/>
        </w:rPr>
        <w:t>(七)景区、林地、绿地；</w:t>
      </w:r>
    </w:p>
    <w:p>
      <w:pPr>
        <w:overflowPunct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(八)法律、法规规定的其他区域或者场所。</w:t>
      </w:r>
    </w:p>
    <w:p>
      <w:pPr>
        <w:overflowPunct w:val="0"/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四、本方案未规定的烟花爆竹燃放管理相关事项，依照《烟台市燃放烟花爆竹管理条例》执行。</w:t>
      </w:r>
    </w:p>
    <w:p>
      <w:pPr>
        <w:overflowPunct w:val="0"/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  <w:highlight w:val="yellow"/>
        </w:rPr>
      </w:pPr>
      <w:r>
        <w:rPr>
          <w:rFonts w:hint="eastAsia" w:ascii="黑体" w:hAnsi="黑体" w:eastAsia="黑体" w:cs="黑体"/>
          <w:sz w:val="32"/>
          <w:szCs w:val="32"/>
        </w:rPr>
        <w:t>五、本方案自2026年12月25日起实施，有效期至2031年12月24日。</w:t>
      </w:r>
    </w:p>
    <w:p>
      <w:pPr>
        <w:overflowPunct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overflowPunct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附件：海阳市烟花爆竹禁止燃放区图</w:t>
      </w:r>
    </w:p>
    <w:p>
      <w:pPr>
        <w:overflowPunct w:val="0"/>
        <w:spacing w:line="60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  <w:r>
        <w:rPr>
          <w:rFonts w:ascii="黑体" w:hAnsi="黑体" w:eastAsia="黑体" w:cs="黑体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115570</wp:posOffset>
            </wp:positionH>
            <wp:positionV relativeFrom="paragraph">
              <wp:posOffset>279400</wp:posOffset>
            </wp:positionV>
            <wp:extent cx="5265420" cy="7494905"/>
            <wp:effectExtent l="19050" t="0" r="0" b="0"/>
            <wp:wrapNone/>
            <wp:docPr id="1" name="图片 1" descr="海阳市烟花爆竹禁止燃放区图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海阳市烟花爆竹禁止燃放区图"/>
                    <pic:cNvPicPr>
                      <a:picLocks noChangeAspect="true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494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pStyle w:val="10"/>
        <w:rPr>
          <w:rFonts w:ascii="黑体" w:hAnsi="黑体" w:eastAsia="黑体" w:cs="黑体"/>
          <w:szCs w:val="32"/>
        </w:rPr>
      </w:pPr>
    </w:p>
    <w:p>
      <w:pPr>
        <w:spacing w:line="400" w:lineRule="exact"/>
        <w:rPr>
          <w:rFonts w:ascii="仿宋_GB2312" w:eastAsia="仿宋_GB2312"/>
          <w:sz w:val="32"/>
          <w:szCs w:val="32"/>
          <w:u w:val="thick"/>
        </w:rPr>
      </w:pPr>
      <w:r>
        <w:rPr>
          <w:rFonts w:hint="eastAsia" w:ascii="仿宋_GB2312" w:eastAsia="仿宋_GB2312"/>
          <w:sz w:val="32"/>
          <w:szCs w:val="32"/>
          <w:u w:val="thick"/>
        </w:rPr>
        <w:t xml:space="preserve">                                                        </w:t>
      </w:r>
    </w:p>
    <w:p>
      <w:pPr>
        <w:spacing w:line="400" w:lineRule="exact"/>
        <w:rPr>
          <w:rFonts w:ascii="仿宋_GB2312" w:eastAsia="仿宋_GB2312"/>
          <w:sz w:val="28"/>
          <w:szCs w:val="28"/>
          <w:u w:val="thick"/>
        </w:rPr>
      </w:pPr>
      <w:r>
        <w:rPr>
          <w:rFonts w:hint="eastAsia" w:ascii="仿宋_GB2312" w:eastAsia="仿宋_GB2312"/>
          <w:sz w:val="28"/>
          <w:szCs w:val="28"/>
          <w:u w:val="thick"/>
        </w:rPr>
        <w:t xml:space="preserve">  海阳市人民政府办公室                     2026年9月22日印发   </w:t>
      </w:r>
    </w:p>
    <w:sectPr>
      <w:footerReference r:id="rId3" w:type="default"/>
      <w:footerReference r:id="rId4" w:type="even"/>
      <w:pgSz w:w="11906" w:h="16838"/>
      <w:pgMar w:top="2155" w:right="1588" w:bottom="1928" w:left="1588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微软雅黑"/>
    <w:panose1 w:val="00000000000000000000"/>
    <w:charset w:val="86"/>
    <w:family w:val="auto"/>
    <w:pitch w:val="default"/>
    <w:sig w:usb0="00000000" w:usb1="00000000" w:usb2="00000000" w:usb3="00000000" w:csb0="0004009F" w:csb1="DFD70000"/>
  </w:font>
  <w:font w:name="Tahoma">
    <w:altName w:val="Droid Sans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Courier New">
    <w:altName w:val="DejaVu Sans"/>
    <w:panose1 w:val="02070309020205020404"/>
    <w:charset w:val="00"/>
    <w:family w:val="modern"/>
    <w:pitch w:val="default"/>
    <w:sig w:usb0="00000000" w:usb1="00000000" w:usb2="00000000" w:usb3="00000000" w:csb0="0000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roid Sans">
    <w:panose1 w:val="020B0606030804020204"/>
    <w:charset w:val="00"/>
    <w:family w:val="auto"/>
    <w:pitch w:val="default"/>
    <w:sig w:usb0="E00002EF" w:usb1="4000205B" w:usb2="00000028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7420" w:firstLineChars="2650"/>
    </w:pPr>
    <w:r>
      <w:rPr>
        <w:rFonts w:hint="eastAsia" w:ascii="宋体" w:hAnsi="宋体"/>
        <w:sz w:val="28"/>
        <w:szCs w:val="28"/>
      </w:rPr>
      <w:t xml:space="preserve">— </w:t>
    </w:r>
    <w:sdt>
      <w:sdtPr>
        <w:rPr>
          <w:rFonts w:ascii="宋体" w:hAnsi="宋体"/>
          <w:sz w:val="28"/>
          <w:szCs w:val="28"/>
        </w:rPr>
        <w:id w:val="328238930"/>
        <w:docPartObj>
          <w:docPartGallery w:val="AutoText"/>
        </w:docPartObj>
      </w:sdtPr>
      <w:sdtEndPr>
        <w:rPr>
          <w:rFonts w:ascii="Calibri" w:hAnsi="Calibri"/>
          <w:sz w:val="18"/>
          <w:szCs w:val="18"/>
        </w:rPr>
      </w:sdtEndPr>
      <w:sdtContent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 PAGE   \* MERGEFORMAT 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3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280" w:firstLineChars="100"/>
    </w:pPr>
    <w:r>
      <w:rPr>
        <w:rFonts w:hint="eastAsia" w:ascii="宋体" w:hAnsi="宋体"/>
        <w:sz w:val="28"/>
        <w:szCs w:val="28"/>
      </w:rPr>
      <w:t xml:space="preserve">— </w:t>
    </w:r>
    <w:sdt>
      <w:sdtPr>
        <w:rPr>
          <w:rFonts w:ascii="宋体" w:hAnsi="宋体"/>
          <w:sz w:val="28"/>
          <w:szCs w:val="28"/>
        </w:rPr>
        <w:id w:val="328238994"/>
        <w:docPartObj>
          <w:docPartGallery w:val="AutoText"/>
        </w:docPartObj>
      </w:sdtPr>
      <w:sdtEndPr>
        <w:rPr>
          <w:rFonts w:ascii="Calibri" w:hAnsi="Calibri"/>
          <w:sz w:val="18"/>
          <w:szCs w:val="18"/>
        </w:rPr>
      </w:sdtEndPr>
      <w:sdtContent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 PAGE   \* MERGEFORMAT 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4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</w:t>
        </w:r>
      </w:sdtContent>
    </w:sdt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07DB52"/>
    <w:multiLevelType w:val="singleLevel"/>
    <w:tmpl w:val="5B07DB52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2535"/>
    <w:rsid w:val="00000612"/>
    <w:rsid w:val="00001741"/>
    <w:rsid w:val="00010FFE"/>
    <w:rsid w:val="0001403B"/>
    <w:rsid w:val="0002208A"/>
    <w:rsid w:val="0002355B"/>
    <w:rsid w:val="00023B92"/>
    <w:rsid w:val="000328CE"/>
    <w:rsid w:val="00032ACD"/>
    <w:rsid w:val="000331D0"/>
    <w:rsid w:val="000515B4"/>
    <w:rsid w:val="00052303"/>
    <w:rsid w:val="00052C99"/>
    <w:rsid w:val="00053E21"/>
    <w:rsid w:val="000634CC"/>
    <w:rsid w:val="00071D96"/>
    <w:rsid w:val="0008639D"/>
    <w:rsid w:val="00086976"/>
    <w:rsid w:val="00086D7C"/>
    <w:rsid w:val="000A1671"/>
    <w:rsid w:val="000A4B4B"/>
    <w:rsid w:val="000B2D23"/>
    <w:rsid w:val="000B36FB"/>
    <w:rsid w:val="000B581D"/>
    <w:rsid w:val="000C2A7B"/>
    <w:rsid w:val="000C3544"/>
    <w:rsid w:val="000C3C5E"/>
    <w:rsid w:val="000C4372"/>
    <w:rsid w:val="000C7290"/>
    <w:rsid w:val="000C7A72"/>
    <w:rsid w:val="000E0470"/>
    <w:rsid w:val="000E0764"/>
    <w:rsid w:val="000E3780"/>
    <w:rsid w:val="000F413D"/>
    <w:rsid w:val="001021B8"/>
    <w:rsid w:val="001042DF"/>
    <w:rsid w:val="00107970"/>
    <w:rsid w:val="00113F98"/>
    <w:rsid w:val="0011556F"/>
    <w:rsid w:val="0011652D"/>
    <w:rsid w:val="001366C9"/>
    <w:rsid w:val="001370A3"/>
    <w:rsid w:val="00142B11"/>
    <w:rsid w:val="00145502"/>
    <w:rsid w:val="00150A21"/>
    <w:rsid w:val="00152A33"/>
    <w:rsid w:val="00157EF1"/>
    <w:rsid w:val="001612B6"/>
    <w:rsid w:val="00164FD4"/>
    <w:rsid w:val="001675AE"/>
    <w:rsid w:val="00170AFF"/>
    <w:rsid w:val="001747ED"/>
    <w:rsid w:val="00182971"/>
    <w:rsid w:val="001904EC"/>
    <w:rsid w:val="001905D9"/>
    <w:rsid w:val="00193D7F"/>
    <w:rsid w:val="00194F4C"/>
    <w:rsid w:val="00196256"/>
    <w:rsid w:val="001A488F"/>
    <w:rsid w:val="001A6FAA"/>
    <w:rsid w:val="001B4920"/>
    <w:rsid w:val="001C2A82"/>
    <w:rsid w:val="001C49D3"/>
    <w:rsid w:val="001D20A8"/>
    <w:rsid w:val="001D3733"/>
    <w:rsid w:val="001D5B08"/>
    <w:rsid w:val="001D7DBA"/>
    <w:rsid w:val="001E0AF8"/>
    <w:rsid w:val="001E5AD4"/>
    <w:rsid w:val="001F16EA"/>
    <w:rsid w:val="001F5E0E"/>
    <w:rsid w:val="0020284F"/>
    <w:rsid w:val="00207A40"/>
    <w:rsid w:val="0021065C"/>
    <w:rsid w:val="002134C1"/>
    <w:rsid w:val="00213861"/>
    <w:rsid w:val="002138B1"/>
    <w:rsid w:val="002204DD"/>
    <w:rsid w:val="0022092E"/>
    <w:rsid w:val="002212F8"/>
    <w:rsid w:val="00223845"/>
    <w:rsid w:val="002271FE"/>
    <w:rsid w:val="00234576"/>
    <w:rsid w:val="002446E7"/>
    <w:rsid w:val="00263DD5"/>
    <w:rsid w:val="00264580"/>
    <w:rsid w:val="002714B2"/>
    <w:rsid w:val="00280C29"/>
    <w:rsid w:val="002817A1"/>
    <w:rsid w:val="00284A27"/>
    <w:rsid w:val="0028646D"/>
    <w:rsid w:val="0029170D"/>
    <w:rsid w:val="0029292E"/>
    <w:rsid w:val="0029648B"/>
    <w:rsid w:val="002A2171"/>
    <w:rsid w:val="002A2DE7"/>
    <w:rsid w:val="002A575A"/>
    <w:rsid w:val="002B06B5"/>
    <w:rsid w:val="002B27CA"/>
    <w:rsid w:val="002B3D6F"/>
    <w:rsid w:val="002B4FCE"/>
    <w:rsid w:val="002B7312"/>
    <w:rsid w:val="002C0A55"/>
    <w:rsid w:val="002C2E0F"/>
    <w:rsid w:val="002C34BB"/>
    <w:rsid w:val="002C56E6"/>
    <w:rsid w:val="002D2B74"/>
    <w:rsid w:val="002D561E"/>
    <w:rsid w:val="002D733E"/>
    <w:rsid w:val="002E08F7"/>
    <w:rsid w:val="002E138E"/>
    <w:rsid w:val="002E21C4"/>
    <w:rsid w:val="002E74AA"/>
    <w:rsid w:val="002E77AC"/>
    <w:rsid w:val="002F144F"/>
    <w:rsid w:val="002F26B5"/>
    <w:rsid w:val="002F70A9"/>
    <w:rsid w:val="0030540C"/>
    <w:rsid w:val="00305F43"/>
    <w:rsid w:val="003075FE"/>
    <w:rsid w:val="0031486A"/>
    <w:rsid w:val="003151AD"/>
    <w:rsid w:val="0031536A"/>
    <w:rsid w:val="00315DB4"/>
    <w:rsid w:val="00325228"/>
    <w:rsid w:val="00331BEC"/>
    <w:rsid w:val="00334240"/>
    <w:rsid w:val="0033566C"/>
    <w:rsid w:val="0034003E"/>
    <w:rsid w:val="00340052"/>
    <w:rsid w:val="00340DD6"/>
    <w:rsid w:val="00341D35"/>
    <w:rsid w:val="00351782"/>
    <w:rsid w:val="0035179B"/>
    <w:rsid w:val="0035196C"/>
    <w:rsid w:val="00364148"/>
    <w:rsid w:val="0036422E"/>
    <w:rsid w:val="003643D6"/>
    <w:rsid w:val="003743D9"/>
    <w:rsid w:val="003748B8"/>
    <w:rsid w:val="003769EF"/>
    <w:rsid w:val="003775C8"/>
    <w:rsid w:val="0038376F"/>
    <w:rsid w:val="003874E8"/>
    <w:rsid w:val="003945B2"/>
    <w:rsid w:val="00396632"/>
    <w:rsid w:val="003966D6"/>
    <w:rsid w:val="00397C55"/>
    <w:rsid w:val="00397EDD"/>
    <w:rsid w:val="003A0134"/>
    <w:rsid w:val="003A07E1"/>
    <w:rsid w:val="003A2913"/>
    <w:rsid w:val="003B0182"/>
    <w:rsid w:val="003B1ADB"/>
    <w:rsid w:val="003C393C"/>
    <w:rsid w:val="003C415B"/>
    <w:rsid w:val="003D162C"/>
    <w:rsid w:val="003D173E"/>
    <w:rsid w:val="003D677E"/>
    <w:rsid w:val="003E2165"/>
    <w:rsid w:val="003F5E79"/>
    <w:rsid w:val="004057AC"/>
    <w:rsid w:val="004062CA"/>
    <w:rsid w:val="00421AFA"/>
    <w:rsid w:val="00422848"/>
    <w:rsid w:val="00423054"/>
    <w:rsid w:val="00423645"/>
    <w:rsid w:val="00423811"/>
    <w:rsid w:val="004307B7"/>
    <w:rsid w:val="0043101E"/>
    <w:rsid w:val="0043109C"/>
    <w:rsid w:val="004429FA"/>
    <w:rsid w:val="004567BC"/>
    <w:rsid w:val="004669C8"/>
    <w:rsid w:val="00466D8B"/>
    <w:rsid w:val="00467CD1"/>
    <w:rsid w:val="00470825"/>
    <w:rsid w:val="004738E1"/>
    <w:rsid w:val="004762A9"/>
    <w:rsid w:val="0047742D"/>
    <w:rsid w:val="00477D9E"/>
    <w:rsid w:val="004850CB"/>
    <w:rsid w:val="0048794A"/>
    <w:rsid w:val="00495978"/>
    <w:rsid w:val="004A017D"/>
    <w:rsid w:val="004A1A67"/>
    <w:rsid w:val="004A20C6"/>
    <w:rsid w:val="004A2541"/>
    <w:rsid w:val="004B1469"/>
    <w:rsid w:val="004B1A5F"/>
    <w:rsid w:val="004C1010"/>
    <w:rsid w:val="004C1223"/>
    <w:rsid w:val="004C2730"/>
    <w:rsid w:val="004C53F0"/>
    <w:rsid w:val="004D1CA3"/>
    <w:rsid w:val="004D2ACA"/>
    <w:rsid w:val="004D4771"/>
    <w:rsid w:val="004D6C96"/>
    <w:rsid w:val="004E02BC"/>
    <w:rsid w:val="004E309B"/>
    <w:rsid w:val="004E7F20"/>
    <w:rsid w:val="004F1009"/>
    <w:rsid w:val="004F1622"/>
    <w:rsid w:val="004F1805"/>
    <w:rsid w:val="005016DC"/>
    <w:rsid w:val="00502A21"/>
    <w:rsid w:val="00504713"/>
    <w:rsid w:val="005111D8"/>
    <w:rsid w:val="00520A3A"/>
    <w:rsid w:val="00520FD4"/>
    <w:rsid w:val="005239E0"/>
    <w:rsid w:val="005319DA"/>
    <w:rsid w:val="00532583"/>
    <w:rsid w:val="0053629F"/>
    <w:rsid w:val="00537D5C"/>
    <w:rsid w:val="005404A6"/>
    <w:rsid w:val="00541F90"/>
    <w:rsid w:val="0054576C"/>
    <w:rsid w:val="00545FF5"/>
    <w:rsid w:val="00547388"/>
    <w:rsid w:val="00551278"/>
    <w:rsid w:val="005604DC"/>
    <w:rsid w:val="00561487"/>
    <w:rsid w:val="005636B4"/>
    <w:rsid w:val="0057316E"/>
    <w:rsid w:val="00581331"/>
    <w:rsid w:val="005907E0"/>
    <w:rsid w:val="005914AC"/>
    <w:rsid w:val="00592D05"/>
    <w:rsid w:val="00597D5C"/>
    <w:rsid w:val="005A0772"/>
    <w:rsid w:val="005A3360"/>
    <w:rsid w:val="005A3417"/>
    <w:rsid w:val="005A42BC"/>
    <w:rsid w:val="005A4C62"/>
    <w:rsid w:val="005B0C6E"/>
    <w:rsid w:val="005B4929"/>
    <w:rsid w:val="005C088C"/>
    <w:rsid w:val="005C43F2"/>
    <w:rsid w:val="005D2A75"/>
    <w:rsid w:val="005D3BC8"/>
    <w:rsid w:val="005D3EFA"/>
    <w:rsid w:val="005D41A5"/>
    <w:rsid w:val="005D639A"/>
    <w:rsid w:val="005E5D01"/>
    <w:rsid w:val="005E7B64"/>
    <w:rsid w:val="005F1233"/>
    <w:rsid w:val="005F1BB5"/>
    <w:rsid w:val="00600A85"/>
    <w:rsid w:val="00602273"/>
    <w:rsid w:val="0060383F"/>
    <w:rsid w:val="006045E4"/>
    <w:rsid w:val="00610FE5"/>
    <w:rsid w:val="00612538"/>
    <w:rsid w:val="00617211"/>
    <w:rsid w:val="0061748C"/>
    <w:rsid w:val="006241D3"/>
    <w:rsid w:val="006313CF"/>
    <w:rsid w:val="00632D63"/>
    <w:rsid w:val="0063766E"/>
    <w:rsid w:val="00637F25"/>
    <w:rsid w:val="00637FCE"/>
    <w:rsid w:val="00646917"/>
    <w:rsid w:val="00656580"/>
    <w:rsid w:val="00667C8C"/>
    <w:rsid w:val="00674B05"/>
    <w:rsid w:val="006805AC"/>
    <w:rsid w:val="0068165B"/>
    <w:rsid w:val="006820DA"/>
    <w:rsid w:val="0068456E"/>
    <w:rsid w:val="0068740B"/>
    <w:rsid w:val="0068755C"/>
    <w:rsid w:val="0069217E"/>
    <w:rsid w:val="00692535"/>
    <w:rsid w:val="00697911"/>
    <w:rsid w:val="006A0F73"/>
    <w:rsid w:val="006A1583"/>
    <w:rsid w:val="006A1910"/>
    <w:rsid w:val="006B02EB"/>
    <w:rsid w:val="006B4464"/>
    <w:rsid w:val="006B78EE"/>
    <w:rsid w:val="006D3EE7"/>
    <w:rsid w:val="006D68A7"/>
    <w:rsid w:val="006E0CEA"/>
    <w:rsid w:val="006E203F"/>
    <w:rsid w:val="006E2A82"/>
    <w:rsid w:val="006E2A88"/>
    <w:rsid w:val="006E2E97"/>
    <w:rsid w:val="006E40BB"/>
    <w:rsid w:val="006E485E"/>
    <w:rsid w:val="006F0CB2"/>
    <w:rsid w:val="006F4F71"/>
    <w:rsid w:val="0070010E"/>
    <w:rsid w:val="00701F7B"/>
    <w:rsid w:val="00707250"/>
    <w:rsid w:val="00713F4E"/>
    <w:rsid w:val="0072232E"/>
    <w:rsid w:val="00726E19"/>
    <w:rsid w:val="00734B11"/>
    <w:rsid w:val="007364A8"/>
    <w:rsid w:val="007408D6"/>
    <w:rsid w:val="00750CC1"/>
    <w:rsid w:val="00750F7C"/>
    <w:rsid w:val="00756401"/>
    <w:rsid w:val="00757EB3"/>
    <w:rsid w:val="00761B2A"/>
    <w:rsid w:val="00770B5F"/>
    <w:rsid w:val="0077442F"/>
    <w:rsid w:val="00777AE3"/>
    <w:rsid w:val="007809E9"/>
    <w:rsid w:val="00780DFC"/>
    <w:rsid w:val="007813BD"/>
    <w:rsid w:val="00785B81"/>
    <w:rsid w:val="00792889"/>
    <w:rsid w:val="007C0DAA"/>
    <w:rsid w:val="007C7282"/>
    <w:rsid w:val="007D1918"/>
    <w:rsid w:val="007E4D64"/>
    <w:rsid w:val="007F4459"/>
    <w:rsid w:val="00801161"/>
    <w:rsid w:val="00802838"/>
    <w:rsid w:val="00817D04"/>
    <w:rsid w:val="00820C5B"/>
    <w:rsid w:val="00826235"/>
    <w:rsid w:val="00826E62"/>
    <w:rsid w:val="00844415"/>
    <w:rsid w:val="00852048"/>
    <w:rsid w:val="00854399"/>
    <w:rsid w:val="00856689"/>
    <w:rsid w:val="00857560"/>
    <w:rsid w:val="00857FCF"/>
    <w:rsid w:val="00860D72"/>
    <w:rsid w:val="0086242B"/>
    <w:rsid w:val="0086388C"/>
    <w:rsid w:val="00865FC4"/>
    <w:rsid w:val="00873726"/>
    <w:rsid w:val="0087410E"/>
    <w:rsid w:val="00875C70"/>
    <w:rsid w:val="00877892"/>
    <w:rsid w:val="0088156B"/>
    <w:rsid w:val="00881FFF"/>
    <w:rsid w:val="00883407"/>
    <w:rsid w:val="008840FC"/>
    <w:rsid w:val="0089140A"/>
    <w:rsid w:val="00891962"/>
    <w:rsid w:val="00893FA6"/>
    <w:rsid w:val="008A371B"/>
    <w:rsid w:val="008A66A9"/>
    <w:rsid w:val="008B0CD9"/>
    <w:rsid w:val="008C1C58"/>
    <w:rsid w:val="008C3D0D"/>
    <w:rsid w:val="008C5FB1"/>
    <w:rsid w:val="008E10CF"/>
    <w:rsid w:val="008E19FC"/>
    <w:rsid w:val="008E24A2"/>
    <w:rsid w:val="008F1D6F"/>
    <w:rsid w:val="008F32C9"/>
    <w:rsid w:val="0090022F"/>
    <w:rsid w:val="0091189A"/>
    <w:rsid w:val="00914DC0"/>
    <w:rsid w:val="0092470C"/>
    <w:rsid w:val="00936658"/>
    <w:rsid w:val="00937B45"/>
    <w:rsid w:val="00952DC0"/>
    <w:rsid w:val="00955AAE"/>
    <w:rsid w:val="0095641F"/>
    <w:rsid w:val="009644DB"/>
    <w:rsid w:val="00964A17"/>
    <w:rsid w:val="00973309"/>
    <w:rsid w:val="009801DC"/>
    <w:rsid w:val="009844DD"/>
    <w:rsid w:val="00994365"/>
    <w:rsid w:val="00994FB2"/>
    <w:rsid w:val="00996047"/>
    <w:rsid w:val="00997A24"/>
    <w:rsid w:val="009A14DB"/>
    <w:rsid w:val="009A2ADA"/>
    <w:rsid w:val="009A4FA7"/>
    <w:rsid w:val="009A56C3"/>
    <w:rsid w:val="009A6B05"/>
    <w:rsid w:val="009B0162"/>
    <w:rsid w:val="009B4A20"/>
    <w:rsid w:val="009C3341"/>
    <w:rsid w:val="009C3888"/>
    <w:rsid w:val="009C4A2E"/>
    <w:rsid w:val="009D77EC"/>
    <w:rsid w:val="009E5BD4"/>
    <w:rsid w:val="009E5D95"/>
    <w:rsid w:val="009F20E5"/>
    <w:rsid w:val="009F5EAE"/>
    <w:rsid w:val="00A0189A"/>
    <w:rsid w:val="00A02B37"/>
    <w:rsid w:val="00A1680B"/>
    <w:rsid w:val="00A26F23"/>
    <w:rsid w:val="00A276C4"/>
    <w:rsid w:val="00A34973"/>
    <w:rsid w:val="00A353F9"/>
    <w:rsid w:val="00A40DE5"/>
    <w:rsid w:val="00A449DB"/>
    <w:rsid w:val="00A458FB"/>
    <w:rsid w:val="00A45B95"/>
    <w:rsid w:val="00A51231"/>
    <w:rsid w:val="00A5143F"/>
    <w:rsid w:val="00A563FE"/>
    <w:rsid w:val="00A61FE6"/>
    <w:rsid w:val="00A63675"/>
    <w:rsid w:val="00A66B5E"/>
    <w:rsid w:val="00A72585"/>
    <w:rsid w:val="00A852D5"/>
    <w:rsid w:val="00A914D6"/>
    <w:rsid w:val="00A91A38"/>
    <w:rsid w:val="00AA40CA"/>
    <w:rsid w:val="00AA5745"/>
    <w:rsid w:val="00AB2B7C"/>
    <w:rsid w:val="00AB5EE8"/>
    <w:rsid w:val="00AC2C07"/>
    <w:rsid w:val="00AC3F62"/>
    <w:rsid w:val="00AD0E4C"/>
    <w:rsid w:val="00AD3B51"/>
    <w:rsid w:val="00AE278D"/>
    <w:rsid w:val="00AE5CDB"/>
    <w:rsid w:val="00AF1E01"/>
    <w:rsid w:val="00AF4D0A"/>
    <w:rsid w:val="00AF4F9A"/>
    <w:rsid w:val="00AF5A95"/>
    <w:rsid w:val="00AF7A45"/>
    <w:rsid w:val="00B04502"/>
    <w:rsid w:val="00B04E3E"/>
    <w:rsid w:val="00B06F73"/>
    <w:rsid w:val="00B11BE6"/>
    <w:rsid w:val="00B14941"/>
    <w:rsid w:val="00B17449"/>
    <w:rsid w:val="00B174AB"/>
    <w:rsid w:val="00B21312"/>
    <w:rsid w:val="00B256FB"/>
    <w:rsid w:val="00B26AF8"/>
    <w:rsid w:val="00B37A4D"/>
    <w:rsid w:val="00B45688"/>
    <w:rsid w:val="00B46DFE"/>
    <w:rsid w:val="00B55604"/>
    <w:rsid w:val="00B640D4"/>
    <w:rsid w:val="00B657EE"/>
    <w:rsid w:val="00B71536"/>
    <w:rsid w:val="00B723F7"/>
    <w:rsid w:val="00B75583"/>
    <w:rsid w:val="00B774DD"/>
    <w:rsid w:val="00B824DB"/>
    <w:rsid w:val="00B92033"/>
    <w:rsid w:val="00B9333B"/>
    <w:rsid w:val="00B93C2A"/>
    <w:rsid w:val="00BA20C8"/>
    <w:rsid w:val="00BA466C"/>
    <w:rsid w:val="00BB1158"/>
    <w:rsid w:val="00BB434D"/>
    <w:rsid w:val="00BC1346"/>
    <w:rsid w:val="00BC23D8"/>
    <w:rsid w:val="00BC2401"/>
    <w:rsid w:val="00BC327B"/>
    <w:rsid w:val="00BC588B"/>
    <w:rsid w:val="00BC6F0B"/>
    <w:rsid w:val="00BD1201"/>
    <w:rsid w:val="00BD56B9"/>
    <w:rsid w:val="00BD59C9"/>
    <w:rsid w:val="00BD6B24"/>
    <w:rsid w:val="00BE1C50"/>
    <w:rsid w:val="00BE58A5"/>
    <w:rsid w:val="00BF0FE9"/>
    <w:rsid w:val="00BF1D40"/>
    <w:rsid w:val="00BF2B8E"/>
    <w:rsid w:val="00BF3746"/>
    <w:rsid w:val="00BF5FC6"/>
    <w:rsid w:val="00C06BEB"/>
    <w:rsid w:val="00C07E7E"/>
    <w:rsid w:val="00C11ED8"/>
    <w:rsid w:val="00C13741"/>
    <w:rsid w:val="00C22706"/>
    <w:rsid w:val="00C31E3B"/>
    <w:rsid w:val="00C3226D"/>
    <w:rsid w:val="00C34513"/>
    <w:rsid w:val="00C346E7"/>
    <w:rsid w:val="00C3664B"/>
    <w:rsid w:val="00C46369"/>
    <w:rsid w:val="00C55004"/>
    <w:rsid w:val="00C55521"/>
    <w:rsid w:val="00C609FB"/>
    <w:rsid w:val="00C66D50"/>
    <w:rsid w:val="00C811A4"/>
    <w:rsid w:val="00C824F1"/>
    <w:rsid w:val="00C82E42"/>
    <w:rsid w:val="00C909F3"/>
    <w:rsid w:val="00C91781"/>
    <w:rsid w:val="00C95A69"/>
    <w:rsid w:val="00C96BC5"/>
    <w:rsid w:val="00CA0204"/>
    <w:rsid w:val="00CA12D7"/>
    <w:rsid w:val="00CA15E9"/>
    <w:rsid w:val="00CA4407"/>
    <w:rsid w:val="00CA766E"/>
    <w:rsid w:val="00CB38E0"/>
    <w:rsid w:val="00CC1136"/>
    <w:rsid w:val="00CC1147"/>
    <w:rsid w:val="00CC28D7"/>
    <w:rsid w:val="00CC31FC"/>
    <w:rsid w:val="00CD5E6C"/>
    <w:rsid w:val="00CE157F"/>
    <w:rsid w:val="00CE492C"/>
    <w:rsid w:val="00CE6C59"/>
    <w:rsid w:val="00CE7ABD"/>
    <w:rsid w:val="00CF08F9"/>
    <w:rsid w:val="00CF1F2B"/>
    <w:rsid w:val="00CF279D"/>
    <w:rsid w:val="00CF2A9F"/>
    <w:rsid w:val="00D006E9"/>
    <w:rsid w:val="00D076A0"/>
    <w:rsid w:val="00D121E7"/>
    <w:rsid w:val="00D20400"/>
    <w:rsid w:val="00D208E4"/>
    <w:rsid w:val="00D24720"/>
    <w:rsid w:val="00D25E90"/>
    <w:rsid w:val="00D3430B"/>
    <w:rsid w:val="00D3451B"/>
    <w:rsid w:val="00D34749"/>
    <w:rsid w:val="00D43F02"/>
    <w:rsid w:val="00D508BE"/>
    <w:rsid w:val="00D57C85"/>
    <w:rsid w:val="00D7405F"/>
    <w:rsid w:val="00D74A15"/>
    <w:rsid w:val="00D75CC1"/>
    <w:rsid w:val="00D76623"/>
    <w:rsid w:val="00D76F33"/>
    <w:rsid w:val="00D87CAC"/>
    <w:rsid w:val="00D926C4"/>
    <w:rsid w:val="00D92837"/>
    <w:rsid w:val="00D94E2B"/>
    <w:rsid w:val="00DA324D"/>
    <w:rsid w:val="00DB1E95"/>
    <w:rsid w:val="00DC085E"/>
    <w:rsid w:val="00DC5997"/>
    <w:rsid w:val="00DC725A"/>
    <w:rsid w:val="00DD0FC1"/>
    <w:rsid w:val="00DD2F2C"/>
    <w:rsid w:val="00DD3CDF"/>
    <w:rsid w:val="00DE7554"/>
    <w:rsid w:val="00DF2F52"/>
    <w:rsid w:val="00DF43D1"/>
    <w:rsid w:val="00E02AC2"/>
    <w:rsid w:val="00E04EA9"/>
    <w:rsid w:val="00E051D5"/>
    <w:rsid w:val="00E05FEE"/>
    <w:rsid w:val="00E15CBA"/>
    <w:rsid w:val="00E1691A"/>
    <w:rsid w:val="00E20B28"/>
    <w:rsid w:val="00E240F7"/>
    <w:rsid w:val="00E27F53"/>
    <w:rsid w:val="00E3086F"/>
    <w:rsid w:val="00E33AE4"/>
    <w:rsid w:val="00E35924"/>
    <w:rsid w:val="00E37E45"/>
    <w:rsid w:val="00E4651A"/>
    <w:rsid w:val="00E52514"/>
    <w:rsid w:val="00E5735A"/>
    <w:rsid w:val="00E6005A"/>
    <w:rsid w:val="00E63336"/>
    <w:rsid w:val="00E82028"/>
    <w:rsid w:val="00E84758"/>
    <w:rsid w:val="00E90351"/>
    <w:rsid w:val="00E934FA"/>
    <w:rsid w:val="00E96869"/>
    <w:rsid w:val="00EA1288"/>
    <w:rsid w:val="00EA7D8D"/>
    <w:rsid w:val="00EB7369"/>
    <w:rsid w:val="00EC2C29"/>
    <w:rsid w:val="00EC6E3F"/>
    <w:rsid w:val="00ED133C"/>
    <w:rsid w:val="00ED27F7"/>
    <w:rsid w:val="00ED33D5"/>
    <w:rsid w:val="00ED4BD8"/>
    <w:rsid w:val="00ED6621"/>
    <w:rsid w:val="00EE5891"/>
    <w:rsid w:val="00F01349"/>
    <w:rsid w:val="00F02AB1"/>
    <w:rsid w:val="00F119C6"/>
    <w:rsid w:val="00F11BEC"/>
    <w:rsid w:val="00F144DE"/>
    <w:rsid w:val="00F15AC9"/>
    <w:rsid w:val="00F21D41"/>
    <w:rsid w:val="00F30EE9"/>
    <w:rsid w:val="00F374B1"/>
    <w:rsid w:val="00F40883"/>
    <w:rsid w:val="00F42D17"/>
    <w:rsid w:val="00F46071"/>
    <w:rsid w:val="00F46072"/>
    <w:rsid w:val="00F50E0F"/>
    <w:rsid w:val="00F54ABD"/>
    <w:rsid w:val="00F62508"/>
    <w:rsid w:val="00F70640"/>
    <w:rsid w:val="00F71977"/>
    <w:rsid w:val="00F71D4D"/>
    <w:rsid w:val="00F72953"/>
    <w:rsid w:val="00F81C99"/>
    <w:rsid w:val="00F90267"/>
    <w:rsid w:val="00F93AEF"/>
    <w:rsid w:val="00F93EE3"/>
    <w:rsid w:val="00F94575"/>
    <w:rsid w:val="00F963CF"/>
    <w:rsid w:val="00FA03CA"/>
    <w:rsid w:val="00FB2A13"/>
    <w:rsid w:val="00FB39F9"/>
    <w:rsid w:val="00FB41CD"/>
    <w:rsid w:val="00FB74DE"/>
    <w:rsid w:val="00FC25AB"/>
    <w:rsid w:val="00FC5241"/>
    <w:rsid w:val="00FE4D38"/>
    <w:rsid w:val="77BBC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026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nhideWhenUsed="0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8"/>
    <w:qFormat/>
    <w:uiPriority w:val="0"/>
    <w:pPr>
      <w:keepNext/>
      <w:keepLines/>
      <w:spacing w:line="560" w:lineRule="exact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link w:val="58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9"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cs="宋体"/>
      <w:b/>
      <w:kern w:val="0"/>
      <w:sz w:val="27"/>
      <w:szCs w:val="27"/>
    </w:rPr>
  </w:style>
  <w:style w:type="paragraph" w:styleId="5">
    <w:name w:val="heading 5"/>
    <w:basedOn w:val="1"/>
    <w:next w:val="1"/>
    <w:link w:val="40"/>
    <w:qFormat/>
    <w:uiPriority w:val="9"/>
    <w:pPr>
      <w:keepNext/>
      <w:keepLines/>
      <w:spacing w:before="280" w:after="290" w:line="372" w:lineRule="auto"/>
      <w:outlineLvl w:val="4"/>
    </w:pPr>
    <w:rPr>
      <w:rFonts w:ascii="Times New Roman" w:hAnsi="Times New Roman"/>
      <w:b/>
      <w:sz w:val="28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sz w:val="32"/>
    </w:rPr>
  </w:style>
  <w:style w:type="paragraph" w:styleId="7">
    <w:name w:val="Document Map"/>
    <w:basedOn w:val="1"/>
    <w:link w:val="55"/>
    <w:semiHidden/>
    <w:unhideWhenUsed/>
    <w:qFormat/>
    <w:uiPriority w:val="99"/>
    <w:rPr>
      <w:rFonts w:ascii="宋体"/>
      <w:sz w:val="18"/>
      <w:szCs w:val="18"/>
    </w:rPr>
  </w:style>
  <w:style w:type="paragraph" w:styleId="8">
    <w:name w:val="Body Text"/>
    <w:basedOn w:val="1"/>
    <w:link w:val="32"/>
    <w:qFormat/>
    <w:uiPriority w:val="0"/>
    <w:rPr>
      <w:rFonts w:ascii="Times New Roman" w:hAnsi="Times New Roman"/>
      <w:spacing w:val="28"/>
      <w:szCs w:val="24"/>
    </w:rPr>
  </w:style>
  <w:style w:type="paragraph" w:styleId="9">
    <w:name w:val="Body Text Indent"/>
    <w:basedOn w:val="1"/>
    <w:next w:val="6"/>
    <w:link w:val="41"/>
    <w:qFormat/>
    <w:uiPriority w:val="0"/>
    <w:pPr>
      <w:spacing w:after="120"/>
      <w:ind w:left="420" w:leftChars="200"/>
    </w:pPr>
    <w:rPr>
      <w:rFonts w:ascii="Times New Roman" w:hAnsi="Times New Roman"/>
      <w:sz w:val="32"/>
    </w:rPr>
  </w:style>
  <w:style w:type="paragraph" w:styleId="10">
    <w:name w:val="Plain Text"/>
    <w:basedOn w:val="1"/>
    <w:link w:val="56"/>
    <w:qFormat/>
    <w:uiPriority w:val="0"/>
    <w:pPr>
      <w:spacing w:line="560" w:lineRule="exact"/>
    </w:pPr>
    <w:rPr>
      <w:rFonts w:ascii="宋体" w:hAnsi="Courier New" w:eastAsia="仿宋_GB2312" w:cstheme="minorBidi"/>
      <w:sz w:val="32"/>
      <w:szCs w:val="24"/>
    </w:rPr>
  </w:style>
  <w:style w:type="paragraph" w:styleId="11">
    <w:name w:val="Date"/>
    <w:basedOn w:val="1"/>
    <w:next w:val="1"/>
    <w:link w:val="37"/>
    <w:semiHidden/>
    <w:unhideWhenUsed/>
    <w:qFormat/>
    <w:uiPriority w:val="99"/>
    <w:pPr>
      <w:ind w:left="100" w:leftChars="2500"/>
    </w:pPr>
  </w:style>
  <w:style w:type="paragraph" w:styleId="12">
    <w:name w:val="Body Text Indent 2"/>
    <w:basedOn w:val="1"/>
    <w:link w:val="50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13">
    <w:name w:val="Balloon Text"/>
    <w:basedOn w:val="1"/>
    <w:link w:val="47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2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qFormat/>
    <w:uiPriority w:val="0"/>
    <w:rPr>
      <w:sz w:val="32"/>
    </w:rPr>
  </w:style>
  <w:style w:type="paragraph" w:styleId="17">
    <w:name w:val="HTML Preformatted"/>
    <w:basedOn w:val="1"/>
    <w:link w:val="36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580" w:lineRule="exact"/>
      <w:ind w:firstLine="960" w:firstLineChars="200"/>
      <w:jc w:val="left"/>
    </w:pPr>
    <w:rPr>
      <w:rFonts w:hint="eastAsia" w:ascii="宋体" w:hAnsi="宋体"/>
      <w:kern w:val="0"/>
      <w:sz w:val="24"/>
      <w:szCs w:val="24"/>
    </w:rPr>
  </w:style>
  <w:style w:type="paragraph" w:styleId="1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仿宋_GB2312" w:hAnsi="Times New Roman" w:eastAsia="仿宋_GB2312"/>
      <w:kern w:val="0"/>
      <w:sz w:val="24"/>
      <w:szCs w:val="34"/>
    </w:rPr>
  </w:style>
  <w:style w:type="paragraph" w:styleId="19">
    <w:name w:val="Body Text First Indent"/>
    <w:basedOn w:val="8"/>
    <w:link w:val="42"/>
    <w:qFormat/>
    <w:uiPriority w:val="0"/>
    <w:pPr>
      <w:spacing w:after="120"/>
      <w:ind w:firstLine="420" w:firstLineChars="100"/>
    </w:pPr>
    <w:rPr>
      <w:spacing w:val="0"/>
      <w:sz w:val="32"/>
      <w:szCs w:val="22"/>
    </w:rPr>
  </w:style>
  <w:style w:type="paragraph" w:styleId="20">
    <w:name w:val="Body Text First Indent 2"/>
    <w:basedOn w:val="9"/>
    <w:next w:val="1"/>
    <w:link w:val="43"/>
    <w:qFormat/>
    <w:uiPriority w:val="0"/>
    <w:pPr>
      <w:spacing w:line="600" w:lineRule="exact"/>
      <w:ind w:left="0" w:leftChars="0" w:firstLine="1960" w:firstLineChars="200"/>
    </w:pPr>
    <w:rPr>
      <w:rFonts w:ascii="Calibri" w:hAnsi="Calibri" w:eastAsia="仿宋_GB2312" w:cs="Calibri"/>
      <w:szCs w:val="21"/>
    </w:r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4">
    <w:name w:val="Strong"/>
    <w:basedOn w:val="23"/>
    <w:qFormat/>
    <w:uiPriority w:val="22"/>
    <w:rPr>
      <w:b/>
    </w:rPr>
  </w:style>
  <w:style w:type="character" w:styleId="25">
    <w:name w:val="page number"/>
    <w:basedOn w:val="23"/>
    <w:qFormat/>
    <w:uiPriority w:val="0"/>
  </w:style>
  <w:style w:type="character" w:styleId="26">
    <w:name w:val="Hyperlink"/>
    <w:semiHidden/>
    <w:qFormat/>
    <w:uiPriority w:val="0"/>
    <w:rPr>
      <w:rFonts w:cs="Times New Roman"/>
      <w:color w:val="0000FF"/>
      <w:u w:val="single"/>
    </w:rPr>
  </w:style>
  <w:style w:type="character" w:customStyle="1" w:styleId="27">
    <w:name w:val="页眉 Char"/>
    <w:basedOn w:val="23"/>
    <w:link w:val="15"/>
    <w:semiHidden/>
    <w:qFormat/>
    <w:uiPriority w:val="99"/>
    <w:rPr>
      <w:sz w:val="18"/>
      <w:szCs w:val="18"/>
    </w:rPr>
  </w:style>
  <w:style w:type="character" w:customStyle="1" w:styleId="28">
    <w:name w:val="页脚 Char"/>
    <w:basedOn w:val="23"/>
    <w:link w:val="14"/>
    <w:qFormat/>
    <w:uiPriority w:val="99"/>
    <w:rPr>
      <w:sz w:val="18"/>
      <w:szCs w:val="18"/>
    </w:rPr>
  </w:style>
  <w:style w:type="paragraph" w:customStyle="1" w:styleId="29">
    <w:name w:val="列出段落1"/>
    <w:basedOn w:val="1"/>
    <w:qFormat/>
    <w:uiPriority w:val="0"/>
    <w:pPr>
      <w:ind w:firstLine="420" w:firstLineChars="200"/>
    </w:pPr>
    <w:rPr>
      <w:rFonts w:ascii="Times New Roman"/>
      <w:szCs w:val="24"/>
    </w:rPr>
  </w:style>
  <w:style w:type="character" w:customStyle="1" w:styleId="30">
    <w:name w:val="fontstyle31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31">
    <w:name w:val="fontstyle01"/>
    <w:qFormat/>
    <w:uiPriority w:val="0"/>
    <w:rPr>
      <w:rFonts w:hint="eastAsia" w:ascii="华文中宋" w:hAnsi="华文中宋" w:eastAsia="华文中宋"/>
      <w:color w:val="000000"/>
      <w:sz w:val="44"/>
      <w:szCs w:val="44"/>
    </w:rPr>
  </w:style>
  <w:style w:type="character" w:customStyle="1" w:styleId="32">
    <w:name w:val="正文文本 Char"/>
    <w:basedOn w:val="23"/>
    <w:link w:val="8"/>
    <w:qFormat/>
    <w:uiPriority w:val="0"/>
    <w:rPr>
      <w:rFonts w:ascii="Times New Roman" w:hAnsi="Times New Roman"/>
      <w:spacing w:val="28"/>
      <w:kern w:val="2"/>
      <w:sz w:val="21"/>
      <w:szCs w:val="24"/>
    </w:rPr>
  </w:style>
  <w:style w:type="paragraph" w:customStyle="1" w:styleId="33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黑体" w:eastAsia="宋体" w:cs="黑体"/>
      <w:color w:val="000000"/>
      <w:sz w:val="24"/>
      <w:szCs w:val="24"/>
      <w:lang w:val="en-US" w:eastAsia="zh-CN" w:bidi="ar-SA"/>
    </w:rPr>
  </w:style>
  <w:style w:type="paragraph" w:customStyle="1" w:styleId="34">
    <w:name w:val="引言二级条标题"/>
    <w:basedOn w:val="1"/>
    <w:next w:val="1"/>
    <w:qFormat/>
    <w:uiPriority w:val="0"/>
    <w:pPr>
      <w:widowControl/>
      <w:numPr>
        <w:ilvl w:val="1"/>
        <w:numId w:val="1"/>
      </w:numPr>
    </w:pPr>
    <w:rPr>
      <w:rFonts w:ascii="Times New Roman" w:hAnsi="Times New Roman"/>
      <w:sz w:val="32"/>
      <w:szCs w:val="24"/>
    </w:rPr>
  </w:style>
  <w:style w:type="paragraph" w:customStyle="1" w:styleId="35">
    <w:name w:val="无间隔1"/>
    <w:basedOn w:val="1"/>
    <w:qFormat/>
    <w:uiPriority w:val="0"/>
    <w:pPr>
      <w:spacing w:before="100" w:beforeAutospacing="1" w:after="100" w:afterAutospacing="1"/>
      <w:jc w:val="left"/>
    </w:pPr>
    <w:rPr>
      <w:rFonts w:ascii="黑体" w:eastAsia="黑体"/>
      <w:szCs w:val="32"/>
    </w:rPr>
  </w:style>
  <w:style w:type="character" w:customStyle="1" w:styleId="36">
    <w:name w:val="HTML 预设格式 Char"/>
    <w:basedOn w:val="23"/>
    <w:link w:val="17"/>
    <w:qFormat/>
    <w:uiPriority w:val="0"/>
    <w:rPr>
      <w:rFonts w:ascii="宋体" w:hAnsi="宋体"/>
      <w:sz w:val="24"/>
      <w:szCs w:val="24"/>
    </w:rPr>
  </w:style>
  <w:style w:type="character" w:customStyle="1" w:styleId="37">
    <w:name w:val="日期 Char"/>
    <w:basedOn w:val="23"/>
    <w:link w:val="11"/>
    <w:semiHidden/>
    <w:qFormat/>
    <w:uiPriority w:val="99"/>
    <w:rPr>
      <w:kern w:val="2"/>
      <w:sz w:val="21"/>
      <w:szCs w:val="22"/>
    </w:rPr>
  </w:style>
  <w:style w:type="character" w:customStyle="1" w:styleId="38">
    <w:name w:val="标题 1 Char"/>
    <w:basedOn w:val="23"/>
    <w:link w:val="2"/>
    <w:qFormat/>
    <w:uiPriority w:val="0"/>
    <w:rPr>
      <w:rFonts w:eastAsia="方正小标宋简体"/>
      <w:kern w:val="44"/>
      <w:sz w:val="44"/>
      <w:szCs w:val="22"/>
    </w:rPr>
  </w:style>
  <w:style w:type="character" w:customStyle="1" w:styleId="39">
    <w:name w:val="标题 3 Char"/>
    <w:basedOn w:val="23"/>
    <w:link w:val="4"/>
    <w:qFormat/>
    <w:uiPriority w:val="0"/>
    <w:rPr>
      <w:rFonts w:ascii="宋体" w:hAnsi="宋体" w:cs="宋体"/>
      <w:b/>
      <w:sz w:val="27"/>
      <w:szCs w:val="27"/>
    </w:rPr>
  </w:style>
  <w:style w:type="character" w:customStyle="1" w:styleId="40">
    <w:name w:val="标题 5 Char"/>
    <w:basedOn w:val="23"/>
    <w:link w:val="5"/>
    <w:qFormat/>
    <w:uiPriority w:val="9"/>
    <w:rPr>
      <w:rFonts w:ascii="Times New Roman" w:hAnsi="Times New Roman"/>
      <w:b/>
      <w:kern w:val="2"/>
      <w:sz w:val="28"/>
      <w:szCs w:val="22"/>
    </w:rPr>
  </w:style>
  <w:style w:type="character" w:customStyle="1" w:styleId="41">
    <w:name w:val="正文文本缩进 Char"/>
    <w:basedOn w:val="23"/>
    <w:link w:val="9"/>
    <w:qFormat/>
    <w:uiPriority w:val="0"/>
    <w:rPr>
      <w:rFonts w:ascii="Times New Roman" w:hAnsi="Times New Roman"/>
      <w:kern w:val="2"/>
      <w:sz w:val="32"/>
      <w:szCs w:val="22"/>
    </w:rPr>
  </w:style>
  <w:style w:type="character" w:customStyle="1" w:styleId="42">
    <w:name w:val="正文首行缩进 Char"/>
    <w:basedOn w:val="32"/>
    <w:link w:val="19"/>
    <w:qFormat/>
    <w:uiPriority w:val="0"/>
    <w:rPr>
      <w:sz w:val="32"/>
      <w:szCs w:val="22"/>
    </w:rPr>
  </w:style>
  <w:style w:type="character" w:customStyle="1" w:styleId="43">
    <w:name w:val="正文首行缩进 2 Char"/>
    <w:basedOn w:val="41"/>
    <w:link w:val="20"/>
    <w:qFormat/>
    <w:uiPriority w:val="0"/>
    <w:rPr>
      <w:rFonts w:eastAsia="仿宋_GB2312" w:cs="Calibri"/>
      <w:szCs w:val="21"/>
    </w:rPr>
  </w:style>
  <w:style w:type="paragraph" w:customStyle="1" w:styleId="44">
    <w:name w:val="样式2"/>
    <w:basedOn w:val="1"/>
    <w:qFormat/>
    <w:uiPriority w:val="0"/>
    <w:rPr>
      <w:rFonts w:eastAsia="仿宋_GB2312"/>
      <w:sz w:val="32"/>
    </w:rPr>
  </w:style>
  <w:style w:type="paragraph" w:customStyle="1" w:styleId="45">
    <w:name w:val="样式1"/>
    <w:basedOn w:val="1"/>
    <w:next w:val="1"/>
    <w:qFormat/>
    <w:uiPriority w:val="0"/>
  </w:style>
  <w:style w:type="paragraph" w:customStyle="1" w:styleId="46">
    <w:name w:val="样式3"/>
    <w:basedOn w:val="20"/>
    <w:qFormat/>
    <w:uiPriority w:val="0"/>
  </w:style>
  <w:style w:type="character" w:customStyle="1" w:styleId="47">
    <w:name w:val="批注框文本 Char"/>
    <w:basedOn w:val="23"/>
    <w:link w:val="13"/>
    <w:semiHidden/>
    <w:qFormat/>
    <w:uiPriority w:val="99"/>
    <w:rPr>
      <w:kern w:val="2"/>
      <w:sz w:val="18"/>
      <w:szCs w:val="18"/>
    </w:rPr>
  </w:style>
  <w:style w:type="paragraph" w:customStyle="1" w:styleId="48">
    <w:name w:val="段"/>
    <w:qFormat/>
    <w:uiPriority w:val="0"/>
    <w:pPr>
      <w:ind w:left="840" w:firstLine="20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paragraph" w:customStyle="1" w:styleId="49">
    <w:name w:val="BodyTextIndent2"/>
    <w:qFormat/>
    <w:uiPriority w:val="0"/>
    <w:pPr>
      <w:widowControl w:val="0"/>
      <w:ind w:firstLine="570"/>
      <w:jc w:val="both"/>
    </w:pPr>
    <w:rPr>
      <w:rFonts w:asciiTheme="minorHAnsi" w:hAnsiTheme="minorHAnsi" w:eastAsiaTheme="minorEastAsia" w:cstheme="minorBidi"/>
      <w:kern w:val="2"/>
      <w:sz w:val="28"/>
      <w:szCs w:val="24"/>
      <w:lang w:val="en-US" w:eastAsia="zh-CN" w:bidi="ar-SA"/>
    </w:rPr>
  </w:style>
  <w:style w:type="character" w:customStyle="1" w:styleId="50">
    <w:name w:val="正文文本缩进 2 Char"/>
    <w:basedOn w:val="23"/>
    <w:link w:val="12"/>
    <w:semiHidden/>
    <w:qFormat/>
    <w:uiPriority w:val="99"/>
    <w:rPr>
      <w:kern w:val="2"/>
      <w:sz w:val="21"/>
      <w:szCs w:val="22"/>
    </w:rPr>
  </w:style>
  <w:style w:type="character" w:customStyle="1" w:styleId="51">
    <w:name w:val="NormalCharacter"/>
    <w:qFormat/>
    <w:uiPriority w:val="0"/>
    <w:rPr>
      <w:rFonts w:ascii="Calibri" w:hAnsi="Calibri" w:eastAsia="宋体" w:cs="Times New Roman"/>
      <w:lang w:val="en-US" w:eastAsia="zh-CN" w:bidi="ar-SA"/>
    </w:rPr>
  </w:style>
  <w:style w:type="paragraph" w:customStyle="1" w:styleId="52">
    <w:name w:val="p0"/>
    <w:basedOn w:val="1"/>
    <w:qFormat/>
    <w:uiPriority w:val="0"/>
    <w:pPr>
      <w:widowControl/>
      <w:spacing w:line="365" w:lineRule="atLeast"/>
      <w:ind w:left="1"/>
    </w:pPr>
    <w:rPr>
      <w:kern w:val="0"/>
      <w:sz w:val="20"/>
      <w:szCs w:val="20"/>
    </w:rPr>
  </w:style>
  <w:style w:type="paragraph" w:customStyle="1" w:styleId="53">
    <w:name w:val="Char1"/>
    <w:basedOn w:val="1"/>
    <w:qFormat/>
    <w:uiPriority w:val="0"/>
    <w:pPr>
      <w:widowControl/>
      <w:spacing w:after="160" w:line="240" w:lineRule="exact"/>
      <w:jc w:val="left"/>
    </w:pPr>
    <w:rPr>
      <w:rFonts w:ascii="Times New Roman" w:hAnsi="Times New Roman"/>
      <w:szCs w:val="24"/>
    </w:rPr>
  </w:style>
  <w:style w:type="paragraph" w:customStyle="1" w:styleId="54">
    <w:name w:val="Char"/>
    <w:next w:val="29"/>
    <w:qFormat/>
    <w:uiPriority w:val="0"/>
    <w:pPr>
      <w:shd w:val="clear" w:color="auto" w:fill="000080"/>
      <w:spacing w:line="360" w:lineRule="auto"/>
      <w:ind w:firstLine="480" w:firstLineChars="200"/>
    </w:pPr>
    <w:rPr>
      <w:rFonts w:ascii="Tahoma" w:hAnsi="Tahoma" w:eastAsia="宋体" w:cs="Times New Roman"/>
      <w:sz w:val="24"/>
      <w:szCs w:val="21"/>
      <w:lang w:val="en-US" w:eastAsia="zh-CN" w:bidi="ar-SA"/>
    </w:rPr>
  </w:style>
  <w:style w:type="character" w:customStyle="1" w:styleId="55">
    <w:name w:val="文档结构图 Char"/>
    <w:basedOn w:val="23"/>
    <w:link w:val="7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56">
    <w:name w:val="纯文本 Char"/>
    <w:basedOn w:val="23"/>
    <w:link w:val="10"/>
    <w:qFormat/>
    <w:uiPriority w:val="0"/>
    <w:rPr>
      <w:rFonts w:ascii="宋体" w:hAnsi="Courier New" w:eastAsia="仿宋_GB2312" w:cstheme="minorBidi"/>
      <w:kern w:val="2"/>
      <w:sz w:val="32"/>
      <w:szCs w:val="24"/>
    </w:rPr>
  </w:style>
  <w:style w:type="paragraph" w:styleId="57">
    <w:name w:val="List Paragraph"/>
    <w:basedOn w:val="1"/>
    <w:qFormat/>
    <w:uiPriority w:val="34"/>
    <w:pPr>
      <w:ind w:firstLine="420" w:firstLineChars="200"/>
    </w:pPr>
  </w:style>
  <w:style w:type="character" w:customStyle="1" w:styleId="58">
    <w:name w:val="标题 2 Char"/>
    <w:basedOn w:val="23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187</Words>
  <Characters>1066</Characters>
  <Lines>8</Lines>
  <Paragraphs>2</Paragraphs>
  <TotalTime>10</TotalTime>
  <ScaleCrop>false</ScaleCrop>
  <LinksUpToDate>false</LinksUpToDate>
  <CharactersWithSpaces>1251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2026-06-26T10:02:00Z</dcterms:created>
  <dc:creator>Administrator</dc:creator>
  <cp:lastModifiedBy>greatwall</cp:lastModifiedBy>
  <cp:lastPrinted>2026-09-22T15:40:00Z</cp:lastPrinted>
  <dcterms:modified xsi:type="dcterms:W3CDTF">2026-09-22T16:31:18Z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