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>附件2</w:t>
      </w:r>
    </w:p>
    <w:p>
      <w:pPr>
        <w:jc w:val="center"/>
        <w:rPr>
          <w:rFonts w:cs="Times New Roman"/>
          <w:sz w:val="44"/>
        </w:rPr>
      </w:pPr>
    </w:p>
    <w:p>
      <w:pPr>
        <w:jc w:val="center"/>
        <w:rPr>
          <w:rFonts w:cs="Times New Roman"/>
          <w:sz w:val="44"/>
        </w:rPr>
      </w:pPr>
    </w:p>
    <w:p>
      <w:pPr>
        <w:jc w:val="center"/>
        <w:rPr>
          <w:rFonts w:cs="Times New Roman"/>
          <w:sz w:val="44"/>
        </w:rPr>
      </w:pPr>
    </w:p>
    <w:p>
      <w:pPr>
        <w:jc w:val="center"/>
        <w:rPr>
          <w:rFonts w:cs="Times New Roman"/>
          <w:sz w:val="52"/>
          <w:szCs w:val="52"/>
        </w:rPr>
      </w:pPr>
    </w:p>
    <w:p>
      <w:pPr>
        <w:jc w:val="center"/>
        <w:rPr>
          <w:rFonts w:hint="eastAsia" w:ascii="Times New Roman" w:hAnsi="Times New Roman" w:cs="Times New Roman" w:eastAsiaTheme="minorEastAsia"/>
          <w:sz w:val="44"/>
          <w:szCs w:val="44"/>
          <w:lang w:eastAsia="zh-CN"/>
        </w:rPr>
      </w:pPr>
      <w:r>
        <w:rPr>
          <w:rFonts w:ascii="Times New Roman" w:hAnsi="Times New Roman" w:eastAsia="宋体" w:cs="Times New Roman"/>
          <w:b/>
          <w:sz w:val="44"/>
          <w:szCs w:val="44"/>
        </w:rPr>
        <w:t>海阳市养殖水域滩涂规划</w:t>
      </w:r>
      <w:r>
        <w:rPr>
          <w:rFonts w:ascii="Times New Roman" w:hAnsi="Times New Roman" w:cs="Times New Roman"/>
          <w:sz w:val="44"/>
          <w:szCs w:val="44"/>
        </w:rPr>
        <w:t>（</w:t>
      </w:r>
      <w:r>
        <w:rPr>
          <w:rFonts w:ascii="Times New Roman" w:hAnsi="Times New Roman" w:cs="Times New Roman"/>
          <w:b/>
          <w:sz w:val="44"/>
          <w:szCs w:val="44"/>
        </w:rPr>
        <w:t>2018-2030年</w:t>
      </w:r>
      <w:r>
        <w:rPr>
          <w:rFonts w:ascii="Times New Roman" w:hAnsi="Times New Roman" w:cs="Times New Roman"/>
          <w:sz w:val="44"/>
          <w:szCs w:val="44"/>
        </w:rPr>
        <w:t>）</w:t>
      </w:r>
      <w:r>
        <w:rPr>
          <w:rFonts w:hint="eastAsia" w:ascii="Times New Roman" w:hAnsi="Times New Roman" w:cs="Times New Roman"/>
          <w:sz w:val="44"/>
          <w:szCs w:val="44"/>
          <w:lang w:eastAsia="zh-CN"/>
        </w:rPr>
        <w:t>（</w:t>
      </w:r>
      <w:r>
        <w:rPr>
          <w:rFonts w:hint="eastAsia" w:ascii="Times New Roman" w:hAnsi="Times New Roman" w:cs="Times New Roman"/>
          <w:sz w:val="44"/>
          <w:szCs w:val="44"/>
          <w:lang w:val="en-US" w:eastAsia="zh-CN"/>
        </w:rPr>
        <w:t>修订版</w:t>
      </w:r>
      <w:r>
        <w:rPr>
          <w:rFonts w:hint="eastAsia" w:ascii="Times New Roman" w:hAnsi="Times New Roman" w:cs="Times New Roman"/>
          <w:sz w:val="44"/>
          <w:szCs w:val="44"/>
          <w:lang w:eastAsia="zh-CN"/>
        </w:rPr>
        <w:t>）</w:t>
      </w:r>
    </w:p>
    <w:p>
      <w:pPr>
        <w:jc w:val="center"/>
        <w:rPr>
          <w:rFonts w:cs="Times New Roman"/>
          <w:b/>
          <w:sz w:val="52"/>
          <w:szCs w:val="52"/>
        </w:rPr>
      </w:pPr>
      <w:r>
        <w:rPr>
          <w:rFonts w:cs="Times New Roman"/>
          <w:b/>
          <w:sz w:val="52"/>
          <w:szCs w:val="52"/>
        </w:rPr>
        <w:t>登记表</w:t>
      </w:r>
    </w:p>
    <w:p>
      <w:pPr>
        <w:adjustRightInd w:val="0"/>
        <w:snapToGrid w:val="0"/>
        <w:jc w:val="center"/>
        <w:rPr>
          <w:rFonts w:cs="Times New Roman"/>
          <w:sz w:val="44"/>
          <w:szCs w:val="44"/>
        </w:rPr>
      </w:pPr>
    </w:p>
    <w:p>
      <w:pPr>
        <w:jc w:val="center"/>
        <w:rPr>
          <w:rFonts w:cs="Times New Roman"/>
          <w:b/>
          <w:sz w:val="32"/>
          <w:szCs w:val="32"/>
        </w:rPr>
      </w:pPr>
    </w:p>
    <w:p>
      <w:pPr>
        <w:jc w:val="center"/>
        <w:rPr>
          <w:rFonts w:cs="Times New Roman"/>
          <w:b/>
          <w:sz w:val="32"/>
          <w:szCs w:val="32"/>
        </w:rPr>
      </w:pPr>
    </w:p>
    <w:p>
      <w:pPr>
        <w:jc w:val="center"/>
        <w:rPr>
          <w:rFonts w:cs="Times New Roman"/>
          <w:b/>
          <w:sz w:val="32"/>
          <w:szCs w:val="32"/>
        </w:rPr>
      </w:pPr>
    </w:p>
    <w:p>
      <w:pPr>
        <w:jc w:val="center"/>
        <w:rPr>
          <w:rFonts w:cs="Times New Roman"/>
          <w:b/>
          <w:sz w:val="32"/>
          <w:szCs w:val="32"/>
        </w:rPr>
      </w:pPr>
    </w:p>
    <w:p>
      <w:pPr>
        <w:jc w:val="center"/>
        <w:rPr>
          <w:rFonts w:cs="Times New Roman"/>
          <w:b/>
          <w:sz w:val="32"/>
          <w:szCs w:val="32"/>
        </w:rPr>
      </w:pPr>
    </w:p>
    <w:p>
      <w:pPr>
        <w:jc w:val="center"/>
        <w:rPr>
          <w:rFonts w:cs="Times New Roman"/>
          <w:b/>
          <w:sz w:val="32"/>
          <w:szCs w:val="32"/>
        </w:rPr>
      </w:pPr>
    </w:p>
    <w:p>
      <w:pPr>
        <w:jc w:val="center"/>
        <w:rPr>
          <w:rFonts w:cs="Times New Roman"/>
          <w:b/>
          <w:sz w:val="32"/>
          <w:szCs w:val="32"/>
        </w:rPr>
      </w:pPr>
    </w:p>
    <w:p>
      <w:pPr>
        <w:jc w:val="center"/>
        <w:rPr>
          <w:rFonts w:cs="Times New Roman"/>
          <w:b/>
          <w:sz w:val="36"/>
          <w:szCs w:val="36"/>
        </w:rPr>
      </w:pPr>
    </w:p>
    <w:p>
      <w:pPr>
        <w:jc w:val="center"/>
        <w:rPr>
          <w:rFonts w:cs="Times New Roman"/>
          <w:b/>
          <w:sz w:val="36"/>
          <w:szCs w:val="36"/>
        </w:rPr>
      </w:pPr>
    </w:p>
    <w:p>
      <w:pPr>
        <w:jc w:val="center"/>
        <w:rPr>
          <w:rFonts w:cs="Times New Roman"/>
          <w:b/>
          <w:sz w:val="36"/>
          <w:szCs w:val="36"/>
        </w:rPr>
      </w:pPr>
    </w:p>
    <w:p>
      <w:pPr>
        <w:jc w:val="center"/>
        <w:rPr>
          <w:rFonts w:cs="Times New Roman"/>
          <w:b/>
          <w:sz w:val="36"/>
          <w:szCs w:val="36"/>
        </w:rPr>
      </w:pPr>
    </w:p>
    <w:p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二零</w:t>
      </w:r>
      <w:r>
        <w:rPr>
          <w:rFonts w:hint="eastAsia" w:cs="Times New Roman"/>
          <w:b/>
          <w:sz w:val="36"/>
          <w:szCs w:val="36"/>
          <w:lang w:val="en-US" w:eastAsia="zh-CN"/>
        </w:rPr>
        <w:t>二一</w:t>
      </w:r>
      <w:r>
        <w:rPr>
          <w:rFonts w:cs="Times New Roman"/>
          <w:b/>
          <w:sz w:val="36"/>
          <w:szCs w:val="36"/>
        </w:rPr>
        <w:t>年</w:t>
      </w:r>
    </w:p>
    <w:p>
      <w:pPr>
        <w:widowControl/>
        <w:jc w:val="center"/>
        <w:rPr>
          <w:rFonts w:cs="Times New Roman"/>
        </w:rPr>
      </w:pPr>
    </w:p>
    <w:p>
      <w:pPr>
        <w:widowControl/>
        <w:jc w:val="center"/>
        <w:rPr>
          <w:rFonts w:cs="Times New Roman"/>
        </w:rPr>
      </w:pPr>
    </w:p>
    <w:p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p>
      <w:pPr>
        <w:adjustRightInd w:val="0"/>
        <w:snapToGrid w:val="0"/>
        <w:jc w:val="center"/>
        <w:rPr>
          <w:rFonts w:cs="Times New Roman" w:eastAsiaTheme="minorEastAsia"/>
          <w:b/>
          <w:sz w:val="44"/>
          <w:szCs w:val="44"/>
        </w:rPr>
      </w:pPr>
      <w:r>
        <w:rPr>
          <w:rFonts w:cs="Times New Roman" w:eastAsiaTheme="minorEastAsia"/>
          <w:b/>
          <w:sz w:val="44"/>
          <w:szCs w:val="44"/>
        </w:rPr>
        <w:t>目 录</w:t>
      </w:r>
    </w:p>
    <w:p>
      <w:pPr>
        <w:adjustRightInd w:val="0"/>
        <w:snapToGrid w:val="0"/>
        <w:jc w:val="center"/>
        <w:rPr>
          <w:rFonts w:cs="Times New Roman"/>
          <w:sz w:val="56"/>
        </w:rPr>
      </w:pPr>
    </w:p>
    <w:p>
      <w:pPr>
        <w:pStyle w:val="12"/>
        <w:rPr>
          <w:rFonts w:ascii="Times New Roman" w:hAnsi="Times New Roman" w:cs="Times New Roman" w:eastAsiaTheme="minorEastAsia"/>
          <w:smallCaps w:val="0"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sz w:val="24"/>
          <w:szCs w:val="24"/>
        </w:rPr>
        <w:fldChar w:fldCharType="begin"/>
      </w:r>
      <w:r>
        <w:rPr>
          <w:rFonts w:ascii="Times New Roman" w:hAnsi="Times New Roman" w:cs="Times New Roman" w:eastAsiaTheme="minorEastAsia"/>
          <w:b/>
          <w:sz w:val="24"/>
          <w:szCs w:val="24"/>
        </w:rPr>
        <w:instrText xml:space="preserve"> TOC \o "1-3" \h \z \u </w:instrText>
      </w:r>
      <w:r>
        <w:rPr>
          <w:rFonts w:ascii="Times New Roman" w:hAnsi="Times New Roman" w:cs="Times New Roman" w:eastAsiaTheme="minorEastAsia"/>
          <w:b/>
          <w:sz w:val="24"/>
          <w:szCs w:val="24"/>
        </w:rPr>
        <w:fldChar w:fldCharType="separate"/>
      </w:r>
      <w:r>
        <w:fldChar w:fldCharType="begin"/>
      </w:r>
      <w:r>
        <w:instrText xml:space="preserve"> HYPERLINK \l "_Toc531161486" </w:instrText>
      </w:r>
      <w:r>
        <w:fldChar w:fldCharType="separate"/>
      </w:r>
      <w:r>
        <w:rPr>
          <w:rStyle w:val="16"/>
          <w:rFonts w:ascii="Times New Roman" w:hAnsi="Times New Roman" w:cs="Times New Roman" w:eastAsiaTheme="minorEastAsia"/>
          <w:sz w:val="24"/>
          <w:szCs w:val="24"/>
        </w:rPr>
        <w:t>附表1 海水养殖水域滩涂功能区划登记表</w:t>
      </w:r>
      <w:r>
        <w:rPr>
          <w:rFonts w:ascii="Times New Roman" w:hAnsi="Times New Roman" w:cs="Times New Roman" w:eastAsiaTheme="minorEastAsia"/>
          <w:sz w:val="24"/>
          <w:szCs w:val="24"/>
        </w:rPr>
        <w:tab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begin"/>
      </w:r>
      <w:r>
        <w:rPr>
          <w:rFonts w:ascii="Times New Roman" w:hAnsi="Times New Roman" w:cs="Times New Roman" w:eastAsiaTheme="minorEastAsia"/>
          <w:sz w:val="24"/>
          <w:szCs w:val="24"/>
        </w:rPr>
        <w:instrText xml:space="preserve"> PAGEREF _Toc531161486 \h </w:instrTex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separate"/>
      </w:r>
      <w:r>
        <w:rPr>
          <w:rFonts w:ascii="Times New Roman" w:hAnsi="Times New Roman" w:cs="Times New Roman" w:eastAsiaTheme="minorEastAsia"/>
          <w:sz w:val="24"/>
          <w:szCs w:val="24"/>
        </w:rPr>
        <w:t>1</w: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</w:p>
    <w:p>
      <w:pPr>
        <w:pStyle w:val="12"/>
        <w:rPr>
          <w:rFonts w:ascii="Times New Roman" w:hAnsi="Times New Roman" w:cs="Times New Roman" w:eastAsiaTheme="minorEastAsia"/>
          <w:smallCaps w:val="0"/>
          <w:sz w:val="24"/>
          <w:szCs w:val="24"/>
        </w:rPr>
      </w:pPr>
      <w:r>
        <w:fldChar w:fldCharType="begin"/>
      </w:r>
      <w:r>
        <w:instrText xml:space="preserve"> HYPERLINK \l "_Toc531161487" </w:instrText>
      </w:r>
      <w:r>
        <w:fldChar w:fldCharType="separate"/>
      </w:r>
      <w:r>
        <w:rPr>
          <w:rStyle w:val="16"/>
          <w:rFonts w:ascii="Times New Roman" w:hAnsi="Times New Roman" w:cs="Times New Roman" w:eastAsiaTheme="minorEastAsia"/>
          <w:sz w:val="24"/>
          <w:szCs w:val="24"/>
        </w:rPr>
        <w:t>附表2 淡水养殖水域滩涂功能区划登记表</w:t>
      </w:r>
      <w:r>
        <w:rPr>
          <w:rFonts w:ascii="Times New Roman" w:hAnsi="Times New Roman" w:cs="Times New Roman" w:eastAsiaTheme="minorEastAsia"/>
          <w:sz w:val="24"/>
          <w:szCs w:val="24"/>
        </w:rPr>
        <w:tab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begin"/>
      </w:r>
      <w:r>
        <w:rPr>
          <w:rFonts w:ascii="Times New Roman" w:hAnsi="Times New Roman" w:cs="Times New Roman" w:eastAsiaTheme="minorEastAsia"/>
          <w:sz w:val="24"/>
          <w:szCs w:val="24"/>
        </w:rPr>
        <w:instrText xml:space="preserve"> PAGEREF _Toc531161487 \h </w:instrTex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separate"/>
      </w:r>
      <w:r>
        <w:rPr>
          <w:rFonts w:ascii="Times New Roman" w:hAnsi="Times New Roman" w:cs="Times New Roman" w:eastAsiaTheme="minorEastAsia"/>
          <w:sz w:val="24"/>
          <w:szCs w:val="24"/>
        </w:rPr>
        <w:t>3</w: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</w:p>
    <w:p>
      <w:pPr>
        <w:pStyle w:val="12"/>
        <w:rPr>
          <w:rFonts w:ascii="Times New Roman" w:hAnsi="Times New Roman" w:cs="Times New Roman" w:eastAsiaTheme="minorEastAsia"/>
          <w:smallCaps w:val="0"/>
          <w:sz w:val="24"/>
          <w:szCs w:val="24"/>
        </w:rPr>
      </w:pPr>
      <w:r>
        <w:fldChar w:fldCharType="begin"/>
      </w:r>
      <w:r>
        <w:instrText xml:space="preserve"> HYPERLINK \l "_Toc531161488" </w:instrText>
      </w:r>
      <w:r>
        <w:fldChar w:fldCharType="separate"/>
      </w:r>
      <w:r>
        <w:rPr>
          <w:rStyle w:val="16"/>
          <w:rFonts w:ascii="Times New Roman" w:hAnsi="Times New Roman" w:cs="Times New Roman" w:eastAsiaTheme="minorEastAsia"/>
          <w:sz w:val="24"/>
          <w:szCs w:val="24"/>
        </w:rPr>
        <w:t>附表3 海水禁养区功能区划登记表</w:t>
      </w:r>
      <w:r>
        <w:rPr>
          <w:rFonts w:ascii="Times New Roman" w:hAnsi="Times New Roman" w:cs="Times New Roman" w:eastAsiaTheme="minorEastAsia"/>
          <w:sz w:val="24"/>
          <w:szCs w:val="24"/>
        </w:rPr>
        <w:tab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begin"/>
      </w:r>
      <w:r>
        <w:rPr>
          <w:rFonts w:ascii="Times New Roman" w:hAnsi="Times New Roman" w:cs="Times New Roman" w:eastAsiaTheme="minorEastAsia"/>
          <w:sz w:val="24"/>
          <w:szCs w:val="24"/>
        </w:rPr>
        <w:instrText xml:space="preserve"> PAGEREF _Toc531161488 \h </w:instrTex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separate"/>
      </w:r>
      <w:r>
        <w:rPr>
          <w:rFonts w:ascii="Times New Roman" w:hAnsi="Times New Roman" w:cs="Times New Roman" w:eastAsiaTheme="minorEastAsia"/>
          <w:sz w:val="24"/>
          <w:szCs w:val="24"/>
        </w:rPr>
        <w:t>4</w: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</w:p>
    <w:p>
      <w:pPr>
        <w:pStyle w:val="12"/>
        <w:rPr>
          <w:rFonts w:ascii="Times New Roman" w:hAnsi="Times New Roman" w:cs="Times New Roman" w:eastAsiaTheme="minorEastAsia"/>
          <w:smallCaps w:val="0"/>
          <w:sz w:val="24"/>
          <w:szCs w:val="24"/>
        </w:rPr>
      </w:pPr>
      <w:r>
        <w:fldChar w:fldCharType="begin"/>
      </w:r>
      <w:r>
        <w:instrText xml:space="preserve"> HYPERLINK \l "_Toc531161489" </w:instrText>
      </w:r>
      <w:r>
        <w:fldChar w:fldCharType="separate"/>
      </w:r>
      <w:r>
        <w:rPr>
          <w:rStyle w:val="16"/>
          <w:rFonts w:ascii="Times New Roman" w:hAnsi="Times New Roman" w:cs="Times New Roman" w:eastAsiaTheme="minorEastAsia"/>
          <w:sz w:val="24"/>
          <w:szCs w:val="24"/>
        </w:rPr>
        <w:t>附表3 海水限养区功能区划登记表</w:t>
      </w:r>
      <w:r>
        <w:rPr>
          <w:rFonts w:ascii="Times New Roman" w:hAnsi="Times New Roman" w:cs="Times New Roman" w:eastAsiaTheme="minorEastAsia"/>
          <w:sz w:val="24"/>
          <w:szCs w:val="24"/>
        </w:rPr>
        <w:tab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begin"/>
      </w:r>
      <w:r>
        <w:rPr>
          <w:rFonts w:ascii="Times New Roman" w:hAnsi="Times New Roman" w:cs="Times New Roman" w:eastAsiaTheme="minorEastAsia"/>
          <w:sz w:val="24"/>
          <w:szCs w:val="24"/>
        </w:rPr>
        <w:instrText xml:space="preserve"> PAGEREF _Toc531161489 \h </w:instrTex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separate"/>
      </w:r>
      <w:r>
        <w:rPr>
          <w:rFonts w:ascii="Times New Roman" w:hAnsi="Times New Roman" w:cs="Times New Roman" w:eastAsiaTheme="minorEastAsia"/>
          <w:sz w:val="24"/>
          <w:szCs w:val="24"/>
        </w:rPr>
        <w:t>11</w: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</w:p>
    <w:p>
      <w:pPr>
        <w:pStyle w:val="12"/>
        <w:rPr>
          <w:rFonts w:ascii="Times New Roman" w:hAnsi="Times New Roman" w:cs="Times New Roman" w:eastAsiaTheme="minorEastAsia"/>
          <w:smallCaps w:val="0"/>
          <w:sz w:val="24"/>
          <w:szCs w:val="24"/>
        </w:rPr>
      </w:pPr>
      <w:r>
        <w:fldChar w:fldCharType="begin"/>
      </w:r>
      <w:r>
        <w:instrText xml:space="preserve"> HYPERLINK \l "_Toc531161490" </w:instrText>
      </w:r>
      <w:r>
        <w:fldChar w:fldCharType="separate"/>
      </w:r>
      <w:r>
        <w:rPr>
          <w:rStyle w:val="16"/>
          <w:rFonts w:ascii="Times New Roman" w:hAnsi="Times New Roman" w:cs="Times New Roman" w:eastAsiaTheme="minorEastAsia"/>
          <w:sz w:val="24"/>
          <w:szCs w:val="24"/>
        </w:rPr>
        <w:t>附表4 海水养殖区功能区划登记表</w:t>
      </w:r>
      <w:r>
        <w:rPr>
          <w:rFonts w:ascii="Times New Roman" w:hAnsi="Times New Roman" w:cs="Times New Roman" w:eastAsiaTheme="minorEastAsia"/>
          <w:sz w:val="24"/>
          <w:szCs w:val="24"/>
        </w:rPr>
        <w:tab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begin"/>
      </w:r>
      <w:r>
        <w:rPr>
          <w:rFonts w:ascii="Times New Roman" w:hAnsi="Times New Roman" w:cs="Times New Roman" w:eastAsiaTheme="minorEastAsia"/>
          <w:sz w:val="24"/>
          <w:szCs w:val="24"/>
        </w:rPr>
        <w:instrText xml:space="preserve"> PAGEREF _Toc531161490 \h </w:instrTex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separate"/>
      </w:r>
      <w:r>
        <w:rPr>
          <w:rFonts w:ascii="Times New Roman" w:hAnsi="Times New Roman" w:cs="Times New Roman" w:eastAsiaTheme="minorEastAsia"/>
          <w:sz w:val="24"/>
          <w:szCs w:val="24"/>
        </w:rPr>
        <w:t>14</w: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</w:p>
    <w:p>
      <w:pPr>
        <w:pStyle w:val="12"/>
        <w:rPr>
          <w:rFonts w:ascii="Times New Roman" w:hAnsi="Times New Roman" w:cs="Times New Roman" w:eastAsiaTheme="minorEastAsia"/>
          <w:smallCaps w:val="0"/>
          <w:sz w:val="24"/>
          <w:szCs w:val="24"/>
        </w:rPr>
      </w:pPr>
      <w:r>
        <w:fldChar w:fldCharType="begin"/>
      </w:r>
      <w:r>
        <w:instrText xml:space="preserve"> HYPERLINK \l "_Toc531161491" </w:instrText>
      </w:r>
      <w:r>
        <w:fldChar w:fldCharType="separate"/>
      </w:r>
      <w:r>
        <w:rPr>
          <w:rStyle w:val="16"/>
          <w:rFonts w:ascii="Times New Roman" w:hAnsi="Times New Roman" w:cs="Times New Roman" w:eastAsiaTheme="minorEastAsia"/>
          <w:sz w:val="24"/>
          <w:szCs w:val="24"/>
        </w:rPr>
        <w:t>附表5 淡水禁养区功能区划登记表</w:t>
      </w:r>
      <w:r>
        <w:rPr>
          <w:rFonts w:ascii="Times New Roman" w:hAnsi="Times New Roman" w:cs="Times New Roman" w:eastAsiaTheme="minorEastAsia"/>
          <w:sz w:val="24"/>
          <w:szCs w:val="24"/>
        </w:rPr>
        <w:tab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begin"/>
      </w:r>
      <w:r>
        <w:rPr>
          <w:rFonts w:ascii="Times New Roman" w:hAnsi="Times New Roman" w:cs="Times New Roman" w:eastAsiaTheme="minorEastAsia"/>
          <w:sz w:val="24"/>
          <w:szCs w:val="24"/>
        </w:rPr>
        <w:instrText xml:space="preserve"> PAGEREF _Toc531161491 \h </w:instrTex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separate"/>
      </w:r>
      <w:r>
        <w:rPr>
          <w:rFonts w:ascii="Times New Roman" w:hAnsi="Times New Roman" w:cs="Times New Roman" w:eastAsiaTheme="minorEastAsia"/>
          <w:sz w:val="24"/>
          <w:szCs w:val="24"/>
        </w:rPr>
        <w:t>17</w: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</w:p>
    <w:p>
      <w:pPr>
        <w:pStyle w:val="12"/>
        <w:rPr>
          <w:rFonts w:ascii="Times New Roman" w:hAnsi="Times New Roman" w:cs="Times New Roman" w:eastAsiaTheme="minorEastAsia"/>
          <w:smallCaps w:val="0"/>
          <w:sz w:val="24"/>
          <w:szCs w:val="24"/>
        </w:rPr>
      </w:pPr>
      <w:r>
        <w:fldChar w:fldCharType="begin"/>
      </w:r>
      <w:r>
        <w:instrText xml:space="preserve"> HYPERLINK \l "_Toc531161492" </w:instrText>
      </w:r>
      <w:r>
        <w:fldChar w:fldCharType="separate"/>
      </w:r>
      <w:r>
        <w:rPr>
          <w:rStyle w:val="16"/>
          <w:rFonts w:ascii="Times New Roman" w:hAnsi="Times New Roman" w:cs="Times New Roman" w:eastAsiaTheme="minorEastAsia"/>
          <w:sz w:val="24"/>
          <w:szCs w:val="24"/>
        </w:rPr>
        <w:t>附表6 淡水限养区功能区划登记表</w:t>
      </w:r>
      <w:r>
        <w:rPr>
          <w:rFonts w:ascii="Times New Roman" w:hAnsi="Times New Roman" w:cs="Times New Roman" w:eastAsiaTheme="minorEastAsia"/>
          <w:sz w:val="24"/>
          <w:szCs w:val="24"/>
        </w:rPr>
        <w:tab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begin"/>
      </w:r>
      <w:r>
        <w:rPr>
          <w:rFonts w:ascii="Times New Roman" w:hAnsi="Times New Roman" w:cs="Times New Roman" w:eastAsiaTheme="minorEastAsia"/>
          <w:sz w:val="24"/>
          <w:szCs w:val="24"/>
        </w:rPr>
        <w:instrText xml:space="preserve"> PAGEREF _Toc531161492 \h </w:instrTex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separate"/>
      </w:r>
      <w:r>
        <w:rPr>
          <w:rFonts w:ascii="Times New Roman" w:hAnsi="Times New Roman" w:cs="Times New Roman" w:eastAsiaTheme="minorEastAsia"/>
          <w:sz w:val="24"/>
          <w:szCs w:val="24"/>
        </w:rPr>
        <w:t>18</w:t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  <w:r>
        <w:rPr>
          <w:rFonts w:ascii="Times New Roman" w:hAnsi="Times New Roman" w:cs="Times New Roman" w:eastAsiaTheme="minorEastAsia"/>
          <w:sz w:val="24"/>
          <w:szCs w:val="24"/>
        </w:rPr>
        <w:fldChar w:fldCharType="end"/>
      </w:r>
    </w:p>
    <w:p>
      <w:pPr>
        <w:spacing w:line="360" w:lineRule="auto"/>
        <w:jc w:val="center"/>
        <w:rPr>
          <w:rFonts w:cs="Times New Roman" w:eastAsiaTheme="minorEastAsia"/>
          <w:b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cs="Times New Roman" w:eastAsiaTheme="minorEastAsia"/>
          <w:b/>
          <w:szCs w:val="24"/>
        </w:rPr>
        <w:fldChar w:fldCharType="end"/>
      </w:r>
    </w:p>
    <w:p>
      <w:pPr>
        <w:pStyle w:val="2"/>
        <w:spacing w:after="0" w:line="415" w:lineRule="auto"/>
        <w:rPr>
          <w:rFonts w:ascii="Times New Roman" w:hAnsi="Times New Roman" w:cs="Times New Roman" w:eastAsiaTheme="minorEastAsia"/>
        </w:rPr>
      </w:pPr>
      <w:bookmarkStart w:id="0" w:name="_Toc531161486"/>
      <w:r>
        <w:rPr>
          <w:rFonts w:ascii="Times New Roman" w:hAnsi="Times New Roman" w:cs="Times New Roman" w:eastAsiaTheme="minorEastAsia"/>
        </w:rPr>
        <w:t>附表1 海水养殖水域滩涂功能区划登记表</w:t>
      </w:r>
      <w:bookmarkEnd w:id="0"/>
    </w:p>
    <w:tbl>
      <w:tblPr>
        <w:tblStyle w:val="17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511"/>
        <w:gridCol w:w="742"/>
        <w:gridCol w:w="1228"/>
        <w:gridCol w:w="659"/>
        <w:gridCol w:w="1256"/>
        <w:gridCol w:w="887"/>
        <w:gridCol w:w="2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7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一级代码</w:t>
            </w:r>
          </w:p>
        </w:tc>
        <w:tc>
          <w:tcPr>
            <w:tcW w:w="5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二级代码</w:t>
            </w:r>
          </w:p>
        </w:tc>
        <w:tc>
          <w:tcPr>
            <w:tcW w:w="1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三级代码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功能区名称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1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禁养区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1-1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保护区禁止养殖区</w:t>
            </w:r>
          </w:p>
        </w:tc>
        <w:tc>
          <w:tcPr>
            <w:tcW w:w="6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1-1-1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自然保护区禁止养殖区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J1-1-1-1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千里岩海洋自然保护区核心禁养区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1-1-2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海洋特别保护区禁止养殖区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J1-1-2-1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万米海滩海洋保护区重点保护禁养区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J1-1-2-2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万米海滩海洋保护区预留区禁养区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1-3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港口与工业用海区禁止养殖区</w:t>
            </w:r>
          </w:p>
        </w:tc>
        <w:tc>
          <w:tcPr>
            <w:tcW w:w="6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1-3-1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工业与城镇用海禁止养殖区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J1-3-1-1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海阳近岸工业电力用海禁养区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1-3-2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港口航运区禁止养殖区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J1-3-2-1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海阳港港口航运禁养区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J1-3-2-2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海阳港航道用海东区禁养区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J1-3-2-3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海阳港航道用海西区禁养区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J1-3-2-4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海阳港1号锚地用海禁养区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J1-3-2-5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海阳港2号锚地用海禁养区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J1-3-2-6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海阳港3号锚地用海禁养区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J1-3-2-7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海阳港预留用海东区禁养区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J1-3-2-8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海阳港预留用海北区禁养区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J1-3-2-9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海阳港预留用海南区禁养区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海阳港预留用海西区禁养区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1-4</w:t>
            </w:r>
          </w:p>
        </w:tc>
        <w:tc>
          <w:tcPr>
            <w:tcW w:w="12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景观遗迹与旅游休闲区禁止养殖区</w:t>
            </w:r>
          </w:p>
        </w:tc>
        <w:tc>
          <w:tcPr>
            <w:tcW w:w="6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1-4-2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旅游休闲娱乐区禁止养殖区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J1-4-2-1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东村河口文体休闲娱乐区禁养区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1-5</w:t>
            </w:r>
          </w:p>
        </w:tc>
        <w:tc>
          <w:tcPr>
            <w:tcW w:w="12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水质超标区禁止养殖区</w:t>
            </w:r>
          </w:p>
        </w:tc>
        <w:tc>
          <w:tcPr>
            <w:tcW w:w="6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J1-5-0-1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海阳港东倾倒用海禁养区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1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限养区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2-1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保护区限制养殖区</w:t>
            </w:r>
          </w:p>
        </w:tc>
        <w:tc>
          <w:tcPr>
            <w:tcW w:w="6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2-1-1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自然保护区限制养殖区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X2-1-1-1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千里岩海洋自然保护区用海限养区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海洋特别保护区限制养殖区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X2-1-2-1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万米海滩海洋保护区适度利用限养区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X2-1-2-2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海阳新生村南限养区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2-3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景观遗迹与旅游休闲区限制养殖区</w:t>
            </w:r>
          </w:p>
        </w:tc>
        <w:tc>
          <w:tcPr>
            <w:tcW w:w="65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2-3-2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旅游休闲娱乐区限制养殖区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X2-3-2-1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乳山口文体休闲用海（海阳）限养区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X2-3-2-2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河港-东村河文体休闲用海限养区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X2-3-2-3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丁字咀文体休闲用海限养区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X2-3-2-4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马河港北部文体休闲用海限养区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2-4</w:t>
            </w:r>
          </w:p>
        </w:tc>
        <w:tc>
          <w:tcPr>
            <w:tcW w:w="12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矿产与能源区限制养殖区</w:t>
            </w:r>
          </w:p>
        </w:tc>
        <w:tc>
          <w:tcPr>
            <w:tcW w:w="6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X2-4-0-1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海阳矿产与能源区限养区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港口与工业用海区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限制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养殖区</w:t>
            </w:r>
          </w:p>
        </w:tc>
        <w:tc>
          <w:tcPr>
            <w:tcW w:w="65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工业与城镇用海限制养殖区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X2-5-2-1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海阳临港工业与城镇用海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限养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X2-5-1-2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海阳留格河工业用海限养区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港口航运区限制养殖区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X2-5-2-1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海阳大埠圈航道限养区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X2-5-2-2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海阳港航道用海西区限养区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11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养殖区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3-1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海水养殖区</w:t>
            </w:r>
          </w:p>
        </w:tc>
        <w:tc>
          <w:tcPr>
            <w:tcW w:w="65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3-1-1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海上养殖区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Y3-1-1-1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文登-乳山-海阳农渔业养殖区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Y3-1-1-2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海阳-即墨农渔业养殖区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Y3-1-1-3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威海-青岛东近海农渔业养殖区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Y3-1-1-4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千里岩南保留区养殖区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Y3-1-1-5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琵琶口人工鱼礁用海养殖区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Y3-1-1-6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土埠岛人工鱼礁用海养殖区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7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Y3-1-1-7</w:t>
            </w:r>
          </w:p>
        </w:tc>
        <w:tc>
          <w:tcPr>
            <w:tcW w:w="21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千里岩人工鱼礁用海养殖区</w:t>
            </w:r>
          </w:p>
        </w:tc>
      </w:tr>
    </w:tbl>
    <w:p>
      <w:pPr>
        <w:rPr>
          <w:rFonts w:cs="Times New Roman" w:eastAsiaTheme="minorEastAsia"/>
        </w:rPr>
      </w:pPr>
    </w:p>
    <w:p>
      <w:pPr>
        <w:rPr>
          <w:rFonts w:cs="Times New Roman" w:eastAsiaTheme="minorEastAsia"/>
        </w:rPr>
      </w:pPr>
    </w:p>
    <w:p>
      <w:pPr>
        <w:widowControl/>
        <w:jc w:val="left"/>
        <w:rPr>
          <w:rFonts w:cs="Times New Roman" w:eastAsiaTheme="minorEastAsia"/>
          <w:b/>
          <w:bCs/>
          <w:sz w:val="32"/>
          <w:szCs w:val="32"/>
        </w:rPr>
      </w:pPr>
      <w:r>
        <w:rPr>
          <w:rFonts w:cs="Times New Roman" w:eastAsiaTheme="minorEastAsia"/>
        </w:rPr>
        <w:br w:type="page"/>
      </w:r>
    </w:p>
    <w:p>
      <w:pPr>
        <w:pStyle w:val="2"/>
        <w:rPr>
          <w:rFonts w:ascii="Times New Roman" w:hAnsi="Times New Roman" w:cs="Times New Roman" w:eastAsiaTheme="minorEastAsia"/>
        </w:rPr>
      </w:pPr>
      <w:bookmarkStart w:id="1" w:name="_Toc531161487"/>
      <w:r>
        <w:rPr>
          <w:rFonts w:ascii="Times New Roman" w:hAnsi="Times New Roman" w:cs="Times New Roman" w:eastAsiaTheme="minorEastAsia"/>
        </w:rPr>
        <w:t>附表2 淡水养殖水域滩涂功能区划登记表</w:t>
      </w:r>
      <w:bookmarkEnd w:id="1"/>
    </w:p>
    <w:tbl>
      <w:tblPr>
        <w:tblStyle w:val="17"/>
        <w:tblW w:w="8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493"/>
        <w:gridCol w:w="717"/>
        <w:gridCol w:w="1403"/>
        <w:gridCol w:w="866"/>
        <w:gridCol w:w="1099"/>
        <w:gridCol w:w="982"/>
        <w:gridCol w:w="2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7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  <w:t>一级代码</w:t>
            </w:r>
          </w:p>
        </w:tc>
        <w:tc>
          <w:tcPr>
            <w:tcW w:w="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  <w:t>名称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  <w:t>二级代码</w:t>
            </w:r>
          </w:p>
        </w:tc>
        <w:tc>
          <w:tcPr>
            <w:tcW w:w="140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  <w:t>名称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  <w:t>三级代码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  <w:t>名称</w:t>
            </w:r>
          </w:p>
        </w:tc>
        <w:tc>
          <w:tcPr>
            <w:tcW w:w="9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  <w:t>编号</w:t>
            </w:r>
          </w:p>
        </w:tc>
        <w:tc>
          <w:tcPr>
            <w:tcW w:w="20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b/>
                <w:color w:val="000000"/>
                <w:kern w:val="0"/>
                <w:szCs w:val="24"/>
              </w:rPr>
              <w:t>功能区名称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7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禁养区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1-1</w:t>
            </w:r>
          </w:p>
        </w:tc>
        <w:tc>
          <w:tcPr>
            <w:tcW w:w="140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保护区禁止养殖区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1-1-1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饮用水水源地一级保护区禁养区</w:t>
            </w:r>
          </w:p>
        </w:tc>
        <w:tc>
          <w:tcPr>
            <w:tcW w:w="9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J1-1-1-1</w:t>
            </w:r>
          </w:p>
        </w:tc>
        <w:tc>
          <w:tcPr>
            <w:tcW w:w="20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里店水库禁养区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4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限养区</w:t>
            </w:r>
          </w:p>
        </w:tc>
        <w:tc>
          <w:tcPr>
            <w:tcW w:w="7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2-3</w:t>
            </w:r>
          </w:p>
        </w:tc>
        <w:tc>
          <w:tcPr>
            <w:tcW w:w="140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Cs w:val="24"/>
              </w:rPr>
              <w:t>重点生态功能区限养区</w:t>
            </w:r>
          </w:p>
        </w:tc>
        <w:tc>
          <w:tcPr>
            <w:tcW w:w="86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2-3-2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Cs w:val="24"/>
              </w:rPr>
              <w:t>水库限养区</w:t>
            </w:r>
          </w:p>
        </w:tc>
        <w:tc>
          <w:tcPr>
            <w:tcW w:w="9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X2-3-2-1</w:t>
            </w:r>
          </w:p>
        </w:tc>
        <w:tc>
          <w:tcPr>
            <w:tcW w:w="20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建新水库限养区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4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</w:p>
        </w:tc>
        <w:tc>
          <w:tcPr>
            <w:tcW w:w="49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Cs w:val="24"/>
              </w:rPr>
            </w:pPr>
          </w:p>
        </w:tc>
        <w:tc>
          <w:tcPr>
            <w:tcW w:w="71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Cs w:val="24"/>
              </w:rPr>
            </w:pPr>
          </w:p>
        </w:tc>
        <w:tc>
          <w:tcPr>
            <w:tcW w:w="140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Cs w:val="24"/>
              </w:rPr>
            </w:pPr>
          </w:p>
        </w:tc>
        <w:tc>
          <w:tcPr>
            <w:tcW w:w="86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Cs w:val="24"/>
              </w:rPr>
            </w:pPr>
          </w:p>
        </w:tc>
        <w:tc>
          <w:tcPr>
            <w:tcW w:w="109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Cs w:val="24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X2-3-2-2</w:t>
            </w:r>
          </w:p>
        </w:tc>
        <w:tc>
          <w:tcPr>
            <w:tcW w:w="20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盘石水库限养区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4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</w:p>
        </w:tc>
        <w:tc>
          <w:tcPr>
            <w:tcW w:w="49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Cs w:val="24"/>
              </w:rPr>
            </w:pPr>
          </w:p>
        </w:tc>
        <w:tc>
          <w:tcPr>
            <w:tcW w:w="71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Cs w:val="24"/>
              </w:rPr>
            </w:pPr>
          </w:p>
        </w:tc>
        <w:tc>
          <w:tcPr>
            <w:tcW w:w="140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Cs w:val="24"/>
              </w:rPr>
            </w:pPr>
          </w:p>
        </w:tc>
        <w:tc>
          <w:tcPr>
            <w:tcW w:w="86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Cs w:val="24"/>
              </w:rPr>
            </w:pPr>
          </w:p>
        </w:tc>
        <w:tc>
          <w:tcPr>
            <w:tcW w:w="109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Cs w:val="24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X2-3-2-3</w:t>
            </w:r>
          </w:p>
        </w:tc>
        <w:tc>
          <w:tcPr>
            <w:tcW w:w="20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Cs w:val="24"/>
              </w:rPr>
            </w:pPr>
            <w:r>
              <w:rPr>
                <w:rFonts w:cs="Times New Roman" w:eastAsiaTheme="minorEastAsia"/>
                <w:color w:val="000000"/>
                <w:kern w:val="0"/>
                <w:szCs w:val="24"/>
              </w:rPr>
              <w:t>南台水库限养区</w:t>
            </w:r>
          </w:p>
        </w:tc>
      </w:tr>
    </w:tbl>
    <w:p>
      <w:pPr>
        <w:rPr>
          <w:rFonts w:cs="Times New Roman" w:eastAsiaTheme="minorEastAsia"/>
        </w:rPr>
      </w:pPr>
    </w:p>
    <w:p>
      <w:pPr>
        <w:rPr>
          <w:rFonts w:cs="Times New Roman" w:eastAsiaTheme="minorEastAsi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pStyle w:val="2"/>
        <w:rPr>
          <w:rFonts w:ascii="Times New Roman" w:hAnsi="Times New Roman" w:cs="Times New Roman" w:eastAsiaTheme="minorEastAsia"/>
        </w:rPr>
      </w:pPr>
      <w:bookmarkStart w:id="2" w:name="_Toc531161488"/>
      <w:r>
        <w:rPr>
          <w:rFonts w:ascii="Times New Roman" w:hAnsi="Times New Roman" w:cs="Times New Roman" w:eastAsiaTheme="minorEastAsia"/>
        </w:rPr>
        <w:t>附表3 海水禁养区功能区划登记表</w:t>
      </w:r>
      <w:bookmarkEnd w:id="2"/>
    </w:p>
    <w:tbl>
      <w:tblPr>
        <w:tblStyle w:val="17"/>
        <w:tblW w:w="14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973"/>
        <w:gridCol w:w="1276"/>
        <w:gridCol w:w="1060"/>
        <w:gridCol w:w="1507"/>
        <w:gridCol w:w="1058"/>
        <w:gridCol w:w="911"/>
        <w:gridCol w:w="1559"/>
        <w:gridCol w:w="709"/>
        <w:gridCol w:w="4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简述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J1-1-1-1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千里岩海洋自然保护区核心禁养区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259.01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121°22′40″-121°23′41″E，36°15′28″-36°16′23″N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千里岩及周围海域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保护区用海，建有简易码头。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本区域基本功能为海洋保护功能，用于保护海岛生境和生物多样性。按照《中华人民共和国自然保护区条例》和《海洋自然保护区管理办法》进行管理。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保障海阳千里岩岛省级海洋自然保护区用海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，禁止水产养殖生产。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严格限制改变海域自然属性。严格论证基础设施建设。维持、恢复、改善海洋生态环境和生物多样性，保护自然景观。海水水质、海洋沉积物质量和海洋生物质量均不劣于一类标准。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J1-1-2-1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万米海滩海洋保护区重点保护禁养区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269.35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121°11′33″-121°13′25″E，36°40′44″-36°41′42″N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凤城南部海域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海阳近岸海域环境类型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沙滩浴场及旅游基础设施用海。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海洋保护功能。按照《海洋特别保护区管理办法》进行管理。保护区核心区禁止养殖生产。生态保护区禁止改变海域自然属性。维持、恢复、改善海洋生态环境和生物多样性，保护自然景观，减少保护区周边海域环境点面源污染。海水水质不劣于二类标准，海洋沉积物质量和海洋生物质量不劣于一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简述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J1-1-2-2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万米海滩海洋保护区预留区禁养区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51.03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121°04′55″-121°09′24″E，36°36′50″-36°40′07″N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凤城南部海域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海阳近岸海域环境类型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沙滩浴场及旅游基础设施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海洋保护功能。按照《海洋特别保护区管理办法》进行管理。预留区内可适当开展滨海旅游项目，禁止养殖生产，预留区建立前的养殖生产要逐步退出。维持、恢复、改善海洋生态环境和生物多样性，保护自然景观，减少保护区周边海域环境点面源污染。海水水质不劣于二类标准，海洋沉积物质量和海洋生物质量不劣于一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J1-3-1-1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海阳近岸工业电力用海禁养区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1007.33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121°20′09″-121°24′01″E，36°41′23″-36°43′20″N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海阳核电厂周边海域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海阳近岸海域环境类型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海阳核电站、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码头、取排水口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本区域基本功能为工业与城镇用海。控制围填海规模，并接受围填海计划指标控制。允许适度改变海域自然属性，采用多突堤式围填海方式。加强海洋环境质量监测。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河口实行陆源污染物入海总量控制，进行减排防治。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废水、污水必须达标排海，加强工业区环境治理及动态监测；海域开发前基本保持所在海域环境质量现状水平。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简述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J1-3-2-1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海阳港港口航运禁养区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7928.25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121°12′37″-121°18′40″E，36°37′11″-36°43′38″N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海阳近岸海域环境类型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海阳港、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游艇码头 、渔港等。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本区域基本功能为港口航运功能。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在基本功能未利用时允许兼容水产养殖等农渔业等功能。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保障港口航运用海，航道及两侧缓冲区内禁止养殖。允许适度改变海域自然属性，港口内工程用海鼓励采用多突堤式透水构筑物方式。注意保护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港口水深地形条件。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加强海域污染防治和监测。港口区海域海水水质不劣于四类标准，海洋沉积物质量和海洋生物质量均不劣于三类标准。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J1-3-2-2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海阳港航道用海东区禁养区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5966.42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四至：121°13′28″-121°29′53″E，36°16′13″-36°37′11″N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海阳港南部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海阳近岸海域环境类型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建有海阳港航道。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航道功能。在基本功能未利用时允许兼容水产养殖等农渔业等功能。保持航道完整，禁止其它活动影响船只锚泊。保障港口航运用海，航道及两侧缓冲区内禁止养殖。允许适度改变海域自然属性。加强海域污染防治和监测。锚地海域海水水质不劣于三类标准，海洋沉积物质量和海洋生物质量均不劣于二类标准。避免对毗邻海洋敏感区、亚敏感区产生影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简述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pStyle w:val="62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J1-3-2-3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海阳港航道用海西区禁养区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0.83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121°12′47″-121°13′24″E，36°36′44″-36°37′12″N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海阳港南部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海阳近岸海域环境类型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建有海阳港航道。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pStyle w:val="62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航道功能。在基本功能未利用时允许兼容水产养殖等农渔业等功能。保持航道完整，禁止其它活动影响船只锚泊。保障港口航运用海，航道及两侧缓冲区内禁止养殖。允许适度改变海域自然属性。加强海域污染防治和监测。锚地海域海水水质不劣于三类标准，海洋沉积物质量和海洋生物质量均不劣于二类标准。避免对毗邻海洋敏感区、亚敏感区产生影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6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J1-3-2-4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海阳港1号锚地用海禁养区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612.01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四至：121°11′13″-121°12′53″E，36°37′27″-36°38′47″N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海阳港西侧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海阳南部近岸海域环境类型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建有锚地，部分未开发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pStyle w:val="62"/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锚地功能。在基本功能未利用时允许兼容水产养殖等农渔业等功能。保持锚地及附近航道的完整，禁止其它活动影响船只锚泊。保障港口航运用海，航道及两侧缓冲区内禁止养殖。允许适度改变海域自然属性。注意保护港口水深地形条件。加强海域污染防治和监测。锚地海域海水水质不劣于三类标准，海洋沉积物质量和海洋生物质量均不劣于二类标准。避免对毗邻海洋敏感区、亚敏感区产生影响。</w:t>
            </w:r>
          </w:p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简述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J1-3-2-5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海阳港2号锚地用海禁养区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2756.20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四至：121°16′10″-121°18′14″E，36°30′10″-36°35′00″N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海阳港南部海域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锚地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，部分未开发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锚地功能。在基本功能未利用时允许兼容水产养殖等农渔业等功能。保持锚地及附近航道的完整，禁止其它活动影响船只锚泊。保障港口航运用海，航道及两侧缓冲区内禁止养殖。允许适度改变海域自然属性。注意保护港口水深地形条件。加强海域污染防治和监测。锚地海域海水水质不劣于三类标准，海洋沉积物质量和海洋生物质量均不劣于二类标准。避免对毗邻海洋敏感区、亚敏感区产生影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J1-3-2-6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海阳港3号锚地用海禁养区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3272.07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四至：121°13′55″-121°19′17″E，36°22′00″-36°26′25″N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海阳港航道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南部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未开发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锚地功能。在基本功能未利用时允许兼容水产养殖等农渔业等功能。保持锚地及附近航道的完整，禁止其它活动影响船只锚泊。保障港口航运用海，航道及两侧缓冲区内禁止养殖。允许适度改变海域自然属性。注意保护港口水深地形条件。加强海域污染防治和监测。锚地海域海水水质不劣于三类标准，海洋沉积物质量和海洋生物质量均不劣于二类标准。避免对毗邻海洋敏感区、亚敏感区产生影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简述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pStyle w:val="62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J1-3-2-7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海阳港预留用海东区禁养区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5135.52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四至：121°15′27″-121°18′42″E，36°28′14″-36°37′11″N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航道东部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无开发利用。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pStyle w:val="62"/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本区域功能待定，为保留区。在基本功能未利用时允许兼容水产养殖等农渔业等功能。</w:t>
            </w:r>
            <w:r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允许用于选划、扩建进出港航道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保障港口航运用海，航道及两侧缓冲区内禁止养殖。调整时需经科学论证，调整保留区的功能，并按程序报批。允许适度改变海域自然属性。注意保护港口水深地形条件。加强海域污染防治和监测。锚地海域海水水质不劣于三类标准，海洋沉积物质量和海洋生物质量均不劣于二类标准。避免对毗邻海洋敏感区、亚敏感区产生影响。</w:t>
            </w:r>
          </w:p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9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J1-3-2-8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海阳港预留用海北区禁养区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1148.05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四至：121°13′23″-121°14′44″E，36°33′12″-36°37′11″N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航道中部北区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无开发利用。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pStyle w:val="62"/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本区域功能待定，为保留区。在基本功能未利用时允许兼容水产养殖等农渔业等功能。</w:t>
            </w:r>
            <w:r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允许用于选划、扩建进出港航道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保障港口航运用海，航道及两侧缓冲区内禁止养殖。调整时需经科学论证，调整保留区的功能，并按程序报批。允许适度改变海域自然属性。注意保护港口水深地形条件。加强海域污染防治和监测。锚地海域海水水质不劣于三类标准，海洋沉积物质量和海洋生物质量均不劣于二类标准。避免对毗邻海洋敏感区、亚敏感区产生影响。</w:t>
            </w:r>
          </w:p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简述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pStyle w:val="62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J1-3-2-9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海阳港预留用海南区禁养区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326.47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四至：121°13′29″-121°14′41″E，36°30′52″-36°33′44″N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航道中部南区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无开发利用。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pStyle w:val="62"/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本区域功能待定，为保留区。在基本功能未利用时允许兼容水产养殖等农渔业等功能。</w:t>
            </w:r>
            <w:r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允许用于选划、扩建进出港航道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保障港口航运用海，航道及两侧缓冲区内禁止养殖。调整时需经科学论证，调整保留区的功能，并按程序报批。允许适度改变海域自然属性。注意保护港口水深地形条件。加强海域污染防治和监测。锚地海域海水水质不劣于三类标准，海洋沉积物质量和海洋生物质量均不劣于二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J1-3-2-10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海阳港预留用海西区禁养区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24.13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四至：121°12′32″-121°12′48″E，36°37′03″-36°37′27″N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航道西区、1号锚地南部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无开发利用。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pStyle w:val="62"/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本区域功能待定，为保留区。在基本功能未利用时允许兼容水产养殖等农渔业等功能。</w:t>
            </w:r>
            <w:r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允许用于选划、扩建进出港航道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保障港口航运用海，航道及两侧缓冲区内禁止养殖。调整时需经科学论证，调整保留区的功能，并按程序报批。允许适度改变海域自然属性。注意保护港口水深地形条件。加强海域污染防治和监测。锚地海域海水水质不劣于三类标准，海洋沉积物质量和海洋生物质量均不劣于二类标准。</w:t>
            </w:r>
          </w:p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简述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pStyle w:val="62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4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J1-4-2-1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东村河口文体休闲娱乐区禁养区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843.14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四至：121°07′10″-121°11′36″E，36°39′58″-36°42′27″N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东村河入海口、羊角泮湾海域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海阳南部近岸海域环境类型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pStyle w:val="62"/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建有旅游基础设施。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旅游休闲娱乐功能，兼容水产养殖等农渔业等功能。允许建设旅游休闲娱乐基础设施。严格控制围填海规模。保障河口行洪安全。允许适度改变海域自然属性；治理和保护海域环境，加强水质监测，控制污染损害事故的发生；合理控制旅游开发强度，严格论证基础设施建设。加强海洋环境质量监测，河口实行陆源污染物入海总量控制，进行减排防治。妥善处理生活垃圾。海水水质不劣于二类标准，海洋沉积物质量和海洋生物质量均不劣于一类标准；风景旅游区海水水质不劣于二类标准，海洋沉积物质量和海洋生物质量均不劣于二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6" w:hRule="atLeast"/>
        </w:trPr>
        <w:tc>
          <w:tcPr>
            <w:tcW w:w="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J1-5-0-1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海阳港东倾倒用海禁养区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997.86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四至：121°29′47″-121°31′27″E，36°25′57″-36°28′07″N</w:t>
            </w: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千里岩东北海域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海阳南部近海海域环境类型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倾倒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用海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，区内未开发利用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4707" w:type="dxa"/>
            <w:shd w:val="clear" w:color="auto" w:fill="auto"/>
            <w:vAlign w:val="center"/>
          </w:tcPr>
          <w:p>
            <w:pPr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特殊利用功能，禁止水产养殖生产。对环境的影响应符合《海水水质标准》（GB3097-1997）的相应要求，对倾废活动要加强监视、监测，控制倾倒强度，当不宜继续倾倒时应经过论证依法予以关闭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严格限制改变海域自然属性；严格控制倾倒范围。</w:t>
            </w:r>
            <w:r>
              <w:rPr>
                <w:rFonts w:hint="eastAsia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禁止倾倒超过规定标准的有毒、有害物质，避免对海洋生态环境产生不利影响。海水水质不劣于四类水质标准，海洋沉积物质量和海洋生物质量不劣于三类标准。</w:t>
            </w:r>
          </w:p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cs="Times New Roman" w:eastAsiaTheme="minorEastAsia"/>
        </w:rPr>
      </w:pPr>
    </w:p>
    <w:p>
      <w:pPr>
        <w:rPr>
          <w:rFonts w:cs="Times New Roman" w:eastAsiaTheme="minorEastAsia"/>
        </w:rPr>
      </w:pPr>
      <w:r>
        <w:rPr>
          <w:rFonts w:cs="Times New Roman" w:eastAsiaTheme="minorEastAsia"/>
        </w:rPr>
        <w:br w:type="page"/>
      </w:r>
    </w:p>
    <w:p>
      <w:pPr>
        <w:pStyle w:val="2"/>
        <w:rPr>
          <w:rFonts w:ascii="Times New Roman" w:hAnsi="Times New Roman" w:cs="Times New Roman" w:eastAsiaTheme="minorEastAsia"/>
        </w:rPr>
      </w:pPr>
      <w:bookmarkStart w:id="3" w:name="_Toc531161489"/>
      <w:r>
        <w:rPr>
          <w:rFonts w:ascii="Times New Roman" w:hAnsi="Times New Roman" w:cs="Times New Roman" w:eastAsiaTheme="minorEastAsia"/>
        </w:rPr>
        <w:t>附表3 海水限养区功能区划登记表</w:t>
      </w:r>
      <w:bookmarkEnd w:id="3"/>
    </w:p>
    <w:tbl>
      <w:tblPr>
        <w:tblStyle w:val="17"/>
        <w:tblW w:w="14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819"/>
        <w:gridCol w:w="1305"/>
        <w:gridCol w:w="1074"/>
        <w:gridCol w:w="1507"/>
        <w:gridCol w:w="789"/>
        <w:gridCol w:w="1134"/>
        <w:gridCol w:w="1134"/>
        <w:gridCol w:w="709"/>
        <w:gridCol w:w="5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7" w:name="_GoBack"/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公顷</w:t>
            </w: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环境简述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X2-1-1-1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千里岩海洋自然保护区用海限养区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1556.58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四至：121°21′48″-121°24′39″E，36°14′48″-36°17′06″N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千里岩及周围海域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保护区用海。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本区域基本功能为海洋保护功能，兼容旅游休闲娱乐和水产养殖等农渔业功能。允许人工鱼礁建设。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按照《中华人民共和国自然保护区条例》和《海洋自然保护区管理办法》进行限养，严格限制改变海域自然属性。严格论证基础设施建设。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X2-1-2-1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万米海滩海洋保护区适度利用限养区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40.84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121°09′02″-121°11′54″E，36°39′38″-36°41′13″N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万米海滩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保护区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适度利用区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沙滩浴场及旅游基础设施用海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海洋保护功能，兼容旅游休闲娱乐和水产养殖等农渔业功能。按照《海洋特别保护区管理办法》进行管理。保护区适度利用区内禁止一切设施养殖，确定适宜养殖密度和养殖方式，可开展增殖放流和底播养殖。维持、恢复、改善海洋生态环境和生物多样性，保护自然景观，减少保护区周边海域环境点面源污染。海水水质不劣于二类标准，海洋沉积物质量和海洋生物质量不劣于一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公顷</w:t>
            </w: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环境简述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X2-1-2-2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海阳新生村南限养区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4.90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121°05′53″-121°06′13″E，36°37′40″-36°38′02″N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万米海滩保护区预留区内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旅游基础设施用海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，有部分池塘养殖。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海洋保护功能，兼容旅游休闲娱乐和水产养殖等农渔业功能。维持、恢复、改善海洋生态环境和生物多样性，保护自然景观，减少保护区周边海域环境点面源污染。海水水质不劣于二类标准，海洋沉积物质量和海洋生物质量不劣于一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X2-3-2-1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乳山口文体休闲娱乐用海限养区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997.41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四至：121°26′06″-121°28′35″E，36°42′32″-36°46′54″N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海阳竹岛附近海域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旅游基础设施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部分浅海底播养殖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本区域基本功能为风景旅游功能，兼容水产养殖等农渔业功能。允许渔业和旅游基础设施建设。经严格论证可适度开发城镇建设，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合理控制旅游开发强度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严格论证基础设施建设，禁止工业建设。严格控制围填海规模。加强海洋环境质量监测。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本海域文体休闲娱乐区海水水质不劣于二类标准，海洋沉积物质量和海洋生物质量均不劣于一类标准；风景旅游区海水水质不劣于二类标准，海洋沉积物质量和海洋生物质量均不劣于二类标准。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公顷</w:t>
            </w: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环境简述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62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pStyle w:val="62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X2-3-2-2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河港-东村河文体休闲娱乐用海限养区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6576.85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四至：121°01′23″-121°13′17″E，36°33′15″-36°41′08″N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万米海滩西南部海域、马河港桥南部海域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海阳南部近岸海域环境类型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62"/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有沙滩浴场、围海养殖和底播养殖。规划建设丁字湾旅游文化产业聚集区。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pStyle w:val="62"/>
              <w:rPr>
                <w:rFonts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本区域基本功能为风景旅游功能，兼容水产养殖等农渔业功能。允许渔业和旅游基础设施建设。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严格论证可适度开发城镇建设。严格控制岸线附近的景区建设工程，禁止工业建设。严格控制占用岸线、沙滩。允许适度改变海域自然属性；治理和保护海域环境，严格控制破坏性开发活动；合理控制旅游开发强度，严格论证基础设施建设。加强海洋环境质量监测。妥善处理生活垃圾，避免对湾内河口湿地海洋保护区等生态敏感区产生不良影响。本海域海水水质不劣于二类标准，海洋沉积物质量和海洋生物质量均不劣于二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X2-3-2-3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丁字咀文体休闲娱乐用海限养区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8670.71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四至：120°50′51″-121°03′33″E，36°32′13″-36°40′21″N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丁字湾鲁岛、丁字咀附近海域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海阳南部近岸海域环境类型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主要是围海养殖和盐业用海，建有渔船停泊点 。规划建设丁字湾旅游文化产业聚集区。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风景旅游功能，兼容水产养殖等农渔业功能。允许渔业和旅游基础设施建设。经严格论证可适度开发城镇建设。严格控制行政界线线附近的景区建设工程，禁止工业建设；严格控制占用岸线、沙滩。严格控制围填海规模。保障河口行洪安全。军事区内禁止养殖和地方船只抛锚，如进行旅游设施建设，需征求军方意见。允许适度改变海域自然属性；严格控制破坏性开发活动；合理控制旅游开发强度，严格论证基础设施建设。加强海洋环境质量监测，河口实行陆源污染物入海总量控制，进行减排防治。保证中部潮流通道的畅通，确保湾内纳潮量不减少。本海域文体休闲娱乐区海水水质不劣于二类标准，海洋沉积物质量和海洋生物质量均不劣于一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公顷</w:t>
            </w: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环境简述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X2-3-2-4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马河港北部文体休闲娱乐用海限养区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2288.31 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四至：120°59′23″-121°05′58″E，36°35′26″-36°40′02″N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马河港桥北部海域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海阳南部近岸海域环境类型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建有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盐业用海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工厂化养殖设施。规划建设丁字湾旅游文化产业聚集区。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本区域基本功能为风景旅游功能，兼容水产养殖等农渔业功能。允许渔业和旅游基础设施建设。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经严格论证可适度开发城镇建设。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禁止工业建设。严格控制围填海规模。保障河口行洪安全。加强海洋环境质量监测。妥善处理生活垃圾，避免对湾内河口湿地海洋保护区等生态敏感区产生不良影响。本海域海水水质不劣于二类标准，海洋沉积物质量和海洋生物质量均不劣于一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X2-4-0-1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海阳矿产与能源区限养区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2946.72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四至：121°24′30″-121°26′20″E，36°27′43″-36°33′33″N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海阳港航道东部海域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未利用，少量海砂开采活动。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本区域基本功能为矿产与能源功能，在基本功能未利用时，可兼容水产养殖等农渔业功能。保障砂矿勘探和开采的用海需求。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允许适度改变海域自然属性。保障砂矿勘探和开采的用海需求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合理控制海砂开采总量和强度。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X2-5-1-1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海阳临港工业与城镇用海限养区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349.40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121°18′39″-121°28′12″E，36°39′51″-36°46′33″N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海阳核电厂周边海域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海阳核电取排水口海域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本区域基本功能为工业与城镇用海，在基本功能未利用时，兼容水产养殖等农渔业等功能，可适当保留原有的池塘等水产养殖。加强海洋环境质量监测。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河口实行陆源污染物入海总量控制，进行减排防治。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废水、污水必须达标排海，加强工业区环境治理及动态监测；海域开发前基本保持所在海域环境质量现状水平。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公顷</w:t>
            </w: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经纬界址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环境简述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养殖现状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X2-5-1-2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海阳留格河工业用海限养区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00.33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121°20′22″-121°21′58″E，36°43′07″-36°44′30″N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留格河河口海域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海阳南部海域环境类型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湾内水域。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本区域基本功能为工业与城镇用海，在基本功能未利用时，兼容水产养殖等农渔业等功能，可适当保留原有的池塘等水产养殖。加强海洋环境质量监测。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河口实行陆源污染物入海总量控制，进行减排防治。</w:t>
            </w: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废水、污水必须达标排海，加强工业区环境治理及动态监测；海域开发前基本保持所在海域环境质量现状水平。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X2-5-2-1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海阳大埠圈航道限养区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127.17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四至：121°24′14″-121°28′04″E，36°41′25″-36°43′31″N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冷家庄南部海域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海阳近岸海域环境类型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航道，部分未利用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航道功能。在基本功能未利用时，允许兼容水产养殖等农渔业等功能。保障港口航运用海，航道及两侧缓冲区内禁止养殖。允许适度改变海域自然属性。加强海域污染防治和监测。避免对毗邻海洋敏感区、亚敏感区产生影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4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X2-5-2-2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海阳港航道西区限养区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18.50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四至：</w:t>
            </w: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121°12′45″-121°13′29″E，36°33′44″-36°37′03″N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海阳港航道西部海域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海阳近岸海域环境类型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航道，部分未利用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52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区域基本功能为航道功能。在基本功能未利用时，允许兼容水产养殖等农渔业等功能。保障港口航运用海，航道及两侧缓冲区内禁止养殖。允许适度改变海域自然属性。加强海域污染防治和监测。避免对毗邻海洋敏感区、亚敏感区产生影响。</w:t>
            </w:r>
          </w:p>
        </w:tc>
      </w:tr>
      <w:bookmarkEnd w:id="7"/>
    </w:tbl>
    <w:p>
      <w:pPr>
        <w:rPr>
          <w:rFonts w:cs="Times New Roman" w:eastAsiaTheme="minorEastAsia"/>
        </w:rPr>
      </w:pPr>
    </w:p>
    <w:p>
      <w:pPr>
        <w:rPr>
          <w:rFonts w:cs="Times New Roman" w:eastAsiaTheme="minorEastAsia"/>
        </w:rPr>
      </w:pPr>
    </w:p>
    <w:p>
      <w:pPr>
        <w:rPr>
          <w:rFonts w:cs="Times New Roman" w:eastAsiaTheme="minorEastAsia"/>
        </w:rPr>
      </w:pPr>
      <w:r>
        <w:rPr>
          <w:rFonts w:cs="Times New Roman" w:eastAsiaTheme="minorEastAsia"/>
        </w:rPr>
        <w:br w:type="page"/>
      </w:r>
    </w:p>
    <w:p>
      <w:pPr>
        <w:pStyle w:val="2"/>
        <w:rPr>
          <w:rFonts w:ascii="Times New Roman" w:hAnsi="Times New Roman" w:cs="Times New Roman" w:eastAsiaTheme="minorEastAsia"/>
        </w:rPr>
      </w:pPr>
      <w:bookmarkStart w:id="4" w:name="_Toc531161490"/>
      <w:r>
        <w:rPr>
          <w:rFonts w:ascii="Times New Roman" w:hAnsi="Times New Roman" w:cs="Times New Roman" w:eastAsiaTheme="minorEastAsia"/>
        </w:rPr>
        <w:t>附表4 海水养殖区功能区划登记表</w:t>
      </w:r>
      <w:bookmarkEnd w:id="4"/>
    </w:p>
    <w:tbl>
      <w:tblPr>
        <w:tblStyle w:val="17"/>
        <w:tblW w:w="138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36"/>
        <w:gridCol w:w="1346"/>
        <w:gridCol w:w="1116"/>
        <w:gridCol w:w="1507"/>
        <w:gridCol w:w="1255"/>
        <w:gridCol w:w="709"/>
        <w:gridCol w:w="1275"/>
        <w:gridCol w:w="709"/>
        <w:gridCol w:w="4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代码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公顷</w:t>
            </w: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经纬界址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位置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环境简述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养殖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现状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Y3-1-1-1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文登-乳山-海阳农渔业养殖区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14956.72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四至：121°18′39″-121°30′18″E，36°30′57″-36°41′42″N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冷家庄南部海域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海阳近岸海域环境类型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开放式养殖，主要为浅海底播养殖。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有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pStyle w:val="62"/>
              <w:rPr>
                <w:rFonts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本区域基本功能为养殖功能，兼容增殖、文体休闲娱乐等功能。允许人工鱼礁的建设。加强渔业资源养护，控制捕捞强度。</w:t>
            </w:r>
            <w:r>
              <w:rPr>
                <w:rFonts w:cs="Times New Roman" w:eastAsiaTheme="minorEastAsia"/>
                <w:sz w:val="21"/>
                <w:szCs w:val="21"/>
              </w:rPr>
              <w:t>将海域养殖容量控制在78468</w:t>
            </w:r>
            <w:r>
              <w:rPr>
                <w:rFonts w:hint="eastAsia" w:cs="Times New Roman" w:eastAsiaTheme="minorEastAsia"/>
                <w:sz w:val="21"/>
                <w:szCs w:val="21"/>
              </w:rPr>
              <w:t>吨</w:t>
            </w:r>
            <w:r>
              <w:rPr>
                <w:rFonts w:cs="Times New Roman" w:eastAsiaTheme="minorEastAsia"/>
                <w:sz w:val="21"/>
                <w:szCs w:val="21"/>
              </w:rPr>
              <w:t>以下。</w:t>
            </w:r>
            <w:r>
              <w:rPr>
                <w:rFonts w:hint="eastAsia"/>
                <w:sz w:val="21"/>
                <w:szCs w:val="21"/>
              </w:rPr>
              <w:t>在船舶习惯航路和依法设置的锚地、航道及两侧缓冲区水域禁止养殖。严格限制改变海域自然属性，鼓励开放式用海，允许小规模透水构筑物用海。保护自然岸线，鼓励对人工岸线进行生态化建设。加强海域污染防治和环境质量监测。海域海水水质不劣于二类标准，海洋沉积物质量和海洋生物质量均不劣于一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Y3-1-1-2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海阳-即墨农渔业养殖区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16218.08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四至：121°02′15″-121°14′40″E，36°28′42″-36°39′58″N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海阳旅游度假区至即墨田横岛以南海域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海阳南部近岸海域环境类型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开放式养殖用海，</w:t>
            </w:r>
            <w:r>
              <w:rPr>
                <w:rFonts w:hint="eastAsia"/>
                <w:sz w:val="21"/>
                <w:szCs w:val="21"/>
              </w:rPr>
              <w:t>主要为浅海底播养殖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有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pStyle w:val="62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本区域基本功能为农渔业功能，兼容增殖、文体休闲娱乐等功能。允许人工鱼礁的建设。加强渔业资源养护，控制捕捞强度。</w:t>
            </w:r>
            <w:r>
              <w:rPr>
                <w:rFonts w:cs="Times New Roman" w:eastAsiaTheme="minorEastAsia"/>
                <w:sz w:val="21"/>
                <w:szCs w:val="21"/>
              </w:rPr>
              <w:t>将海域养殖容量控制在85084</w:t>
            </w:r>
            <w:r>
              <w:rPr>
                <w:rFonts w:hint="eastAsia" w:cs="Times New Roman" w:eastAsiaTheme="minorEastAsia"/>
                <w:sz w:val="21"/>
                <w:szCs w:val="21"/>
              </w:rPr>
              <w:t>吨</w:t>
            </w:r>
            <w:r>
              <w:rPr>
                <w:rFonts w:cs="Times New Roman" w:eastAsiaTheme="minorEastAsia"/>
                <w:sz w:val="21"/>
                <w:szCs w:val="21"/>
              </w:rPr>
              <w:t>以下。</w:t>
            </w:r>
            <w:r>
              <w:rPr>
                <w:rFonts w:hint="eastAsia"/>
                <w:sz w:val="21"/>
                <w:szCs w:val="21"/>
              </w:rPr>
              <w:t>在船舶习惯航路和依法设置的锚地、航道及两侧缓冲区水域禁止养殖。军事区内禁止养殖和地方船只抛锚。严格限制改变海域自然属性，鼓励开放式用海。加强海域污染防治和监测。加强海域污染防治和环境质量监测。海域海水水质不劣于二类标准，海洋沉积物质量和海洋生物质量均不劣于一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代码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公顷</w:t>
            </w: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经纬界址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位置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环境简述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62"/>
              <w:jc w:val="center"/>
              <w:rPr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sz w:val="21"/>
                <w:szCs w:val="21"/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养殖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现状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pStyle w:val="62"/>
              <w:jc w:val="center"/>
              <w:rPr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sz w:val="21"/>
                <w:szCs w:val="21"/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Y3-1-1-3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威海-青岛东近海农渔业养殖区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99225.96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四至：121°06′22″-121°36′42″E，36°06′43″-36°34′48″N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烟台-威海分界线2（海阳-乳山勘界线）至烟台-青岛分界线之间近海海域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海阳南部海域环境类型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62"/>
              <w:rPr>
                <w:rFonts w:cs="Times New Roman"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底播养殖和捕捞区。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有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区域基本功能为捕捞功能，兼容养殖、增殖、航道、固体矿产、可再生能源等功能。适宜开发贝类底播增养殖和筏式养殖，允许人工鱼礁建设。在船舶习惯航路和依法设置的锚地、航道及两侧缓冲区水域禁止养殖。加强渔业资源养护，控制捕捞强度。严格限制改变海域自然属性，鼓励开发开放式用海。控制养殖密度，严格执行休渔制度。</w:t>
            </w:r>
            <w:r>
              <w:rPr>
                <w:rFonts w:cs="Times New Roman" w:eastAsiaTheme="minorEastAsia"/>
                <w:sz w:val="21"/>
                <w:szCs w:val="21"/>
              </w:rPr>
              <w:t>将海域的养殖容量控制在520564</w:t>
            </w:r>
            <w:r>
              <w:rPr>
                <w:rFonts w:hint="eastAsia" w:cs="Times New Roman" w:eastAsiaTheme="minorEastAsia"/>
                <w:sz w:val="21"/>
                <w:szCs w:val="21"/>
              </w:rPr>
              <w:t>吨</w:t>
            </w:r>
            <w:r>
              <w:rPr>
                <w:rFonts w:cs="Times New Roman" w:eastAsiaTheme="minorEastAsia"/>
                <w:sz w:val="21"/>
                <w:szCs w:val="21"/>
              </w:rPr>
              <w:t>以下</w:t>
            </w:r>
            <w:r>
              <w:rPr>
                <w:rFonts w:hint="eastAsia" w:cs="Times New Roman" w:eastAsiaTheme="minorEastAsia"/>
                <w:sz w:val="21"/>
                <w:szCs w:val="21"/>
              </w:rPr>
              <w:t>。</w:t>
            </w:r>
            <w:r>
              <w:rPr>
                <w:rFonts w:hint="eastAsia"/>
                <w:sz w:val="21"/>
                <w:szCs w:val="21"/>
              </w:rPr>
              <w:t>加强海域污染防治和监测。海域海水水质不劣于二类标准、海洋沉积物质量和海洋生物质量均执行一类标准。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Y3-1-1-4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千里岩南保留区养殖区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7772.82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四至：121°30′13″-121°37′54″E，36°03′34″-36°10′42″N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千里岩南部海域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海阳南部海域环境类型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暂未利用。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无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本区域功能待定，为保留区。有待通过科学论证确定具体用途。严格限制改变海域自然属性。调整时需经科学论证，调整保留区的功能，并按程序报批。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将海域养殖容量控制在40780</w:t>
            </w: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吨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以下。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Y3-1-1-5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琵琶口人工鱼礁用海养殖区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8678.62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四至：121°20′34″-121°29′40″E，36°37′12″-36°42′33″N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冷家庄南部海域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海阳近岸海域环境类型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以浅海增养殖为主，有部分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底播养殖。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有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</w:rPr>
              <w:t>规划用途为人工鱼礁用海，规划期内投放近海资源增殖性人工渔礁为重点，兼顾投放资源保护型，适度投放休闲生态型。人工鱼礁投放前兼容开放式养殖。</w:t>
            </w:r>
            <w:r>
              <w:rPr>
                <w:rFonts w:cs="Times New Roman" w:eastAsiaTheme="minorEastAsia"/>
                <w:kern w:val="0"/>
                <w:sz w:val="21"/>
                <w:szCs w:val="21"/>
              </w:rPr>
              <w:t>将海域的养殖容量控制在11592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</w:rPr>
              <w:t>吨</w:t>
            </w:r>
            <w:r>
              <w:rPr>
                <w:rFonts w:cs="Times New Roman" w:eastAsiaTheme="minorEastAsia"/>
                <w:kern w:val="0"/>
                <w:sz w:val="21"/>
                <w:szCs w:val="21"/>
              </w:rPr>
              <w:t>以下。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科学论证、合理确定礁体占用海域面积，设置边界标志物，做好礁区的环境监测、日常维护、养护管理等工作。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代码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公顷</w:t>
            </w: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经纬界址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位置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环境简述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使用现状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养殖</w:t>
            </w:r>
          </w:p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现状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Y3-1-1-6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土埠岛人工鱼礁用海养殖区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 xml:space="preserve">3527.57 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四至：121°07′25″-121°09′58″E，36°28′17″-36°33′20″N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万米海滩南部离岸海域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海阳南部海域环境类型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以浅海增养殖为主，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有</w:t>
            </w: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部分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底播养殖。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有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</w:rPr>
              <w:t>规划用途为人工鱼礁用海，规划期内投放近海资源增殖性人工渔礁为重点，兼顾投放资源保护型，适度投放休闲生态型。人工鱼礁投放前兼容开放式养殖。</w:t>
            </w:r>
            <w:r>
              <w:rPr>
                <w:rFonts w:cs="Times New Roman" w:eastAsiaTheme="minorEastAsia"/>
                <w:kern w:val="0"/>
                <w:sz w:val="21"/>
                <w:szCs w:val="21"/>
              </w:rPr>
              <w:t>将海域的养殖容量控制在4683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</w:rPr>
              <w:t>吨</w:t>
            </w:r>
            <w:r>
              <w:rPr>
                <w:rFonts w:cs="Times New Roman" w:eastAsiaTheme="minorEastAsia"/>
                <w:kern w:val="0"/>
                <w:sz w:val="21"/>
                <w:szCs w:val="21"/>
              </w:rPr>
              <w:t>以下。科学论证、合理确定礁体占用海域面积，设置边界标志物，做好礁区的环境监测、日常维护、养护管理等工作。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Y3-1-1-7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千里岩人工鱼礁用海养殖区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1475.79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四至：121°19′05″-121°22′02″E，36°17′19″-36°19′11″N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千里岩西部海域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海阳南部海域环境类型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以浅海增养殖为主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有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kern w:val="0"/>
                <w:sz w:val="21"/>
                <w:szCs w:val="21"/>
              </w:rPr>
              <w:t>规划用途为人工鱼礁用海，规划期内投放近海资源增殖性人工渔礁为重点，兼顾投放资源保护型，适度投放休闲生态型。人工鱼礁投放前兼容开放式养殖。</w:t>
            </w:r>
            <w:r>
              <w:rPr>
                <w:rFonts w:cs="Times New Roman" w:eastAsiaTheme="minorEastAsia"/>
                <w:kern w:val="0"/>
                <w:sz w:val="21"/>
                <w:szCs w:val="21"/>
              </w:rPr>
              <w:t>将海域的养殖容量控制在1960</w:t>
            </w:r>
            <w:r>
              <w:rPr>
                <w:rFonts w:hint="eastAsia" w:cs="Times New Roman" w:eastAsiaTheme="minorEastAsia"/>
                <w:kern w:val="0"/>
                <w:sz w:val="21"/>
                <w:szCs w:val="21"/>
              </w:rPr>
              <w:t>吨</w:t>
            </w:r>
            <w:r>
              <w:rPr>
                <w:rFonts w:cs="Times New Roman" w:eastAsiaTheme="minorEastAsia"/>
                <w:kern w:val="0"/>
                <w:sz w:val="21"/>
                <w:szCs w:val="21"/>
              </w:rPr>
              <w:t>以下。科学论证、合理确定礁体占用海域面积，设置边界标志物，做好礁区的环境监测、日常维护、养护管理等工作。</w:t>
            </w:r>
          </w:p>
        </w:tc>
      </w:tr>
    </w:tbl>
    <w:p>
      <w:pPr>
        <w:rPr>
          <w:rFonts w:cs="Times New Roman" w:eastAsiaTheme="minorEastAsia"/>
        </w:rPr>
      </w:pPr>
    </w:p>
    <w:p>
      <w:pPr>
        <w:rPr>
          <w:rFonts w:cs="Times New Roman" w:eastAsiaTheme="minorEastAsia"/>
        </w:rPr>
      </w:pPr>
    </w:p>
    <w:p>
      <w:pPr>
        <w:widowControl/>
        <w:jc w:val="left"/>
        <w:rPr>
          <w:rFonts w:cs="Times New Roman" w:eastAsiaTheme="minorEastAsia"/>
          <w:b/>
          <w:bCs/>
          <w:sz w:val="32"/>
          <w:szCs w:val="32"/>
        </w:rPr>
      </w:pPr>
      <w:r>
        <w:rPr>
          <w:rFonts w:cs="Times New Roman" w:eastAsiaTheme="minorEastAsia"/>
        </w:rPr>
        <w:br w:type="page"/>
      </w:r>
    </w:p>
    <w:p>
      <w:pPr>
        <w:pStyle w:val="2"/>
        <w:rPr>
          <w:rFonts w:ascii="Times New Roman" w:hAnsi="Times New Roman" w:cs="Times New Roman" w:eastAsiaTheme="minorEastAsia"/>
        </w:rPr>
      </w:pPr>
      <w:bookmarkStart w:id="5" w:name="_Toc531161491"/>
      <w:r>
        <w:rPr>
          <w:rFonts w:ascii="Times New Roman" w:hAnsi="Times New Roman" w:cs="Times New Roman" w:eastAsiaTheme="minorEastAsia"/>
        </w:rPr>
        <w:t>附表5 淡水禁养区功能区划登记表</w:t>
      </w:r>
      <w:bookmarkEnd w:id="5"/>
    </w:p>
    <w:tbl>
      <w:tblPr>
        <w:tblStyle w:val="17"/>
        <w:tblW w:w="13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093"/>
        <w:gridCol w:w="1387"/>
        <w:gridCol w:w="1134"/>
        <w:gridCol w:w="2551"/>
        <w:gridCol w:w="851"/>
        <w:gridCol w:w="1276"/>
        <w:gridCol w:w="850"/>
        <w:gridCol w:w="709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代码</w:t>
            </w: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（公顷）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经纬界址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地理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位置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环境简述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使用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现状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养殖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现状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J1-1-1-1</w:t>
            </w: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里店水库禁养区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279.70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</w:t>
            </w:r>
          </w:p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121°03′49″-121°05′20″E，36°43′22″-36°44′56″N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二十里店镇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Ⅲ型水库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城乡生活、农业灌溉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无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sz w:val="21"/>
                <w:szCs w:val="21"/>
              </w:rPr>
              <w:t>本区域基本功能为水源涵养。按照饮用水水源地管理要求禁止一切网箱网围及投饵性、施肥性渔业养殖，但可进行科研活动及放鱼养水。</w:t>
            </w:r>
          </w:p>
        </w:tc>
      </w:tr>
    </w:tbl>
    <w:p>
      <w:pPr>
        <w:rPr>
          <w:rFonts w:cs="Times New Roman" w:eastAsiaTheme="minorEastAsia"/>
        </w:rPr>
      </w:pPr>
    </w:p>
    <w:p>
      <w:pPr>
        <w:widowControl/>
        <w:jc w:val="left"/>
        <w:rPr>
          <w:rFonts w:cs="Times New Roman" w:eastAsiaTheme="minorEastAsia"/>
        </w:rPr>
      </w:pPr>
      <w:r>
        <w:rPr>
          <w:rFonts w:cs="Times New Roman" w:eastAsiaTheme="minorEastAsia"/>
        </w:rPr>
        <w:br w:type="page"/>
      </w:r>
    </w:p>
    <w:p>
      <w:pPr>
        <w:pStyle w:val="2"/>
        <w:rPr>
          <w:rFonts w:ascii="Times New Roman" w:hAnsi="Times New Roman" w:cs="Times New Roman" w:eastAsiaTheme="minorEastAsia"/>
        </w:rPr>
      </w:pPr>
      <w:bookmarkStart w:id="6" w:name="_Toc531161492"/>
      <w:r>
        <w:rPr>
          <w:rFonts w:ascii="Times New Roman" w:hAnsi="Times New Roman" w:cs="Times New Roman" w:eastAsiaTheme="minorEastAsia"/>
        </w:rPr>
        <w:t>附表6 淡水限养区功能区划登记表</w:t>
      </w:r>
      <w:bookmarkEnd w:id="6"/>
    </w:p>
    <w:tbl>
      <w:tblPr>
        <w:tblStyle w:val="17"/>
        <w:tblW w:w="13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102"/>
        <w:gridCol w:w="1399"/>
        <w:gridCol w:w="1143"/>
        <w:gridCol w:w="2658"/>
        <w:gridCol w:w="1134"/>
        <w:gridCol w:w="1134"/>
        <w:gridCol w:w="647"/>
        <w:gridCol w:w="715"/>
        <w:gridCol w:w="3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代码</w:t>
            </w:r>
          </w:p>
        </w:tc>
        <w:tc>
          <w:tcPr>
            <w:tcW w:w="139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功能区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面积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（公顷）</w:t>
            </w:r>
          </w:p>
        </w:tc>
        <w:tc>
          <w:tcPr>
            <w:tcW w:w="26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经纬界址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地理位置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环境简述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使用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现状</w:t>
            </w:r>
          </w:p>
        </w:tc>
        <w:tc>
          <w:tcPr>
            <w:tcW w:w="7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养殖</w:t>
            </w:r>
          </w:p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现状</w:t>
            </w:r>
          </w:p>
        </w:tc>
        <w:tc>
          <w:tcPr>
            <w:tcW w:w="32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b/>
                <w:bCs/>
                <w:color w:val="000000"/>
                <w:kern w:val="0"/>
                <w:sz w:val="21"/>
                <w:szCs w:val="21"/>
              </w:rPr>
              <w:t>管理要求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X2-3</w:t>
            </w: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2-1</w:t>
            </w:r>
          </w:p>
        </w:tc>
        <w:tc>
          <w:tcPr>
            <w:tcW w:w="139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建新水库限养区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190.20</w:t>
            </w:r>
          </w:p>
        </w:tc>
        <w:tc>
          <w:tcPr>
            <w:tcW w:w="26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</w:t>
            </w:r>
          </w:p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121°04′53″-121°05′56″E，37°00′59″-37°03′00″N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郭城镇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Ⅲ型水库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农业灌溉</w:t>
            </w:r>
          </w:p>
        </w:tc>
        <w:tc>
          <w:tcPr>
            <w:tcW w:w="7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无</w:t>
            </w:r>
          </w:p>
        </w:tc>
        <w:tc>
          <w:tcPr>
            <w:tcW w:w="3288" w:type="dxa"/>
            <w:shd w:val="clear" w:color="auto" w:fill="auto"/>
            <w:vAlign w:val="center"/>
          </w:tcPr>
          <w:p>
            <w:pPr>
              <w:widowControl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按照水库相关管理办法进行限养。禁止一切网箱网围及投饵性、施肥性渔业养殖。可进行适宜种类增殖放流。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X2-3</w:t>
            </w: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2-2</w:t>
            </w:r>
          </w:p>
        </w:tc>
        <w:tc>
          <w:tcPr>
            <w:tcW w:w="139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盘石水库限养区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131.02</w:t>
            </w:r>
          </w:p>
        </w:tc>
        <w:tc>
          <w:tcPr>
            <w:tcW w:w="26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</w:t>
            </w:r>
          </w:p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121°14′03″-121°15′54″E，36°53′08″-36°54′18″N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盘石店镇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Ⅲ型水库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农业灌溉</w:t>
            </w:r>
          </w:p>
        </w:tc>
        <w:tc>
          <w:tcPr>
            <w:tcW w:w="7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无</w:t>
            </w:r>
          </w:p>
        </w:tc>
        <w:tc>
          <w:tcPr>
            <w:tcW w:w="3288" w:type="dxa"/>
            <w:shd w:val="clear" w:color="auto" w:fill="auto"/>
            <w:vAlign w:val="center"/>
          </w:tcPr>
          <w:p>
            <w:pPr>
              <w:widowControl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按照水库相关管理办法进行限养。禁止一切网箱网围及投饵性、施肥性渔业养殖。可进行适宜种类增殖放流。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X2-3</w:t>
            </w: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2-3</w:t>
            </w:r>
          </w:p>
        </w:tc>
        <w:tc>
          <w:tcPr>
            <w:tcW w:w="139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南台水库限养区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109.94</w:t>
            </w:r>
          </w:p>
        </w:tc>
        <w:tc>
          <w:tcPr>
            <w:tcW w:w="26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四至：</w:t>
            </w:r>
          </w:p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121°01′35″-121°02′35″E，36°49′17″-36°50′21″N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小纪镇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Ⅲ型水库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农业灌溉</w:t>
            </w:r>
          </w:p>
        </w:tc>
        <w:tc>
          <w:tcPr>
            <w:tcW w:w="7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  <w:t>无</w:t>
            </w:r>
          </w:p>
        </w:tc>
        <w:tc>
          <w:tcPr>
            <w:tcW w:w="3288" w:type="dxa"/>
            <w:shd w:val="clear" w:color="auto" w:fill="auto"/>
            <w:vAlign w:val="center"/>
          </w:tcPr>
          <w:p>
            <w:pPr>
              <w:widowControl/>
              <w:rPr>
                <w:rFonts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</w:rPr>
              <w:t>按照水库相关管理办法进行限养。禁止一切网箱网围及投饵性、施肥性渔业养殖。可进行适宜种类增殖放流。</w:t>
            </w:r>
          </w:p>
        </w:tc>
      </w:tr>
    </w:tbl>
    <w:p>
      <w:pPr>
        <w:rPr>
          <w:rFonts w:cs="Times New Roman" w:eastAsiaTheme="minorEastAsia"/>
        </w:rPr>
      </w:pPr>
    </w:p>
    <w:p>
      <w:pPr>
        <w:rPr>
          <w:rFonts w:cs="Times New Roman" w:eastAsiaTheme="minorEastAsia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11037242"/>
      <w:docPartObj>
        <w:docPartGallery w:val="autotext"/>
      </w:docPartObj>
    </w:sdtPr>
    <w:sdtContent>
      <w:p>
        <w:pPr>
          <w:pStyle w:val="7"/>
          <w:jc w:val="center"/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18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CA"/>
    <w:rsid w:val="00000574"/>
    <w:rsid w:val="0001664C"/>
    <w:rsid w:val="00022BAA"/>
    <w:rsid w:val="00032CED"/>
    <w:rsid w:val="00032F8D"/>
    <w:rsid w:val="00043F62"/>
    <w:rsid w:val="00044667"/>
    <w:rsid w:val="00063E88"/>
    <w:rsid w:val="00072140"/>
    <w:rsid w:val="0007231D"/>
    <w:rsid w:val="00075574"/>
    <w:rsid w:val="000773A0"/>
    <w:rsid w:val="00085B99"/>
    <w:rsid w:val="000868B5"/>
    <w:rsid w:val="000926FD"/>
    <w:rsid w:val="00095C9A"/>
    <w:rsid w:val="00096CC5"/>
    <w:rsid w:val="000A3648"/>
    <w:rsid w:val="000A3DC0"/>
    <w:rsid w:val="000A3F9F"/>
    <w:rsid w:val="000A4681"/>
    <w:rsid w:val="000B2068"/>
    <w:rsid w:val="000B294D"/>
    <w:rsid w:val="000B3A36"/>
    <w:rsid w:val="000B3DBE"/>
    <w:rsid w:val="000C0B6F"/>
    <w:rsid w:val="000C560F"/>
    <w:rsid w:val="000C6248"/>
    <w:rsid w:val="000D081D"/>
    <w:rsid w:val="000D719E"/>
    <w:rsid w:val="000E615E"/>
    <w:rsid w:val="000E685F"/>
    <w:rsid w:val="000F0DDA"/>
    <w:rsid w:val="000F1FA2"/>
    <w:rsid w:val="000F28DA"/>
    <w:rsid w:val="000F51E5"/>
    <w:rsid w:val="00104D56"/>
    <w:rsid w:val="00117EAD"/>
    <w:rsid w:val="00125CB8"/>
    <w:rsid w:val="001362BD"/>
    <w:rsid w:val="00155A2F"/>
    <w:rsid w:val="001631A1"/>
    <w:rsid w:val="00177799"/>
    <w:rsid w:val="001925F7"/>
    <w:rsid w:val="001A036F"/>
    <w:rsid w:val="001A0848"/>
    <w:rsid w:val="001A72BD"/>
    <w:rsid w:val="001B218A"/>
    <w:rsid w:val="001B5162"/>
    <w:rsid w:val="001B52C9"/>
    <w:rsid w:val="001C0C0D"/>
    <w:rsid w:val="001C12FC"/>
    <w:rsid w:val="001C59BF"/>
    <w:rsid w:val="001C75B1"/>
    <w:rsid w:val="00203CD1"/>
    <w:rsid w:val="0021112F"/>
    <w:rsid w:val="002122BD"/>
    <w:rsid w:val="00225D69"/>
    <w:rsid w:val="00231CAA"/>
    <w:rsid w:val="00242543"/>
    <w:rsid w:val="00244EBE"/>
    <w:rsid w:val="00251885"/>
    <w:rsid w:val="0026518B"/>
    <w:rsid w:val="00275407"/>
    <w:rsid w:val="00276AC5"/>
    <w:rsid w:val="00284DC5"/>
    <w:rsid w:val="00287A8F"/>
    <w:rsid w:val="00290EC3"/>
    <w:rsid w:val="00291549"/>
    <w:rsid w:val="002944B8"/>
    <w:rsid w:val="002A1C07"/>
    <w:rsid w:val="002A4EC4"/>
    <w:rsid w:val="002A5ADC"/>
    <w:rsid w:val="002B338B"/>
    <w:rsid w:val="002E4C02"/>
    <w:rsid w:val="002E7010"/>
    <w:rsid w:val="002F3A61"/>
    <w:rsid w:val="00301409"/>
    <w:rsid w:val="00303032"/>
    <w:rsid w:val="00304A05"/>
    <w:rsid w:val="00304CBF"/>
    <w:rsid w:val="0031049B"/>
    <w:rsid w:val="0031408F"/>
    <w:rsid w:val="00316187"/>
    <w:rsid w:val="00321870"/>
    <w:rsid w:val="003300E6"/>
    <w:rsid w:val="0033028F"/>
    <w:rsid w:val="00333106"/>
    <w:rsid w:val="00333D19"/>
    <w:rsid w:val="00336AB3"/>
    <w:rsid w:val="0034164E"/>
    <w:rsid w:val="0034328B"/>
    <w:rsid w:val="003525B3"/>
    <w:rsid w:val="00354E27"/>
    <w:rsid w:val="00371746"/>
    <w:rsid w:val="0037320D"/>
    <w:rsid w:val="00374084"/>
    <w:rsid w:val="0038710D"/>
    <w:rsid w:val="003A32A6"/>
    <w:rsid w:val="003A45D2"/>
    <w:rsid w:val="003B1513"/>
    <w:rsid w:val="003D1054"/>
    <w:rsid w:val="003D2239"/>
    <w:rsid w:val="003D5D57"/>
    <w:rsid w:val="003D640C"/>
    <w:rsid w:val="003E0620"/>
    <w:rsid w:val="003E0D3C"/>
    <w:rsid w:val="003E79F5"/>
    <w:rsid w:val="003F3750"/>
    <w:rsid w:val="003F60FD"/>
    <w:rsid w:val="003F65DB"/>
    <w:rsid w:val="00400E65"/>
    <w:rsid w:val="004017B0"/>
    <w:rsid w:val="00402290"/>
    <w:rsid w:val="00402AFD"/>
    <w:rsid w:val="00404005"/>
    <w:rsid w:val="004048B5"/>
    <w:rsid w:val="0040716B"/>
    <w:rsid w:val="0041007C"/>
    <w:rsid w:val="004209CA"/>
    <w:rsid w:val="00422A8B"/>
    <w:rsid w:val="00444A1E"/>
    <w:rsid w:val="00463320"/>
    <w:rsid w:val="00465064"/>
    <w:rsid w:val="00471968"/>
    <w:rsid w:val="00475F7F"/>
    <w:rsid w:val="00485AE8"/>
    <w:rsid w:val="004871D2"/>
    <w:rsid w:val="0049069B"/>
    <w:rsid w:val="004A1B31"/>
    <w:rsid w:val="004A4A7F"/>
    <w:rsid w:val="004B729D"/>
    <w:rsid w:val="004C1DD1"/>
    <w:rsid w:val="004C207E"/>
    <w:rsid w:val="004C6C6B"/>
    <w:rsid w:val="004C70D8"/>
    <w:rsid w:val="004D13B7"/>
    <w:rsid w:val="004E377E"/>
    <w:rsid w:val="004F413C"/>
    <w:rsid w:val="004F7972"/>
    <w:rsid w:val="0050535D"/>
    <w:rsid w:val="00505C93"/>
    <w:rsid w:val="005224E9"/>
    <w:rsid w:val="00527FD1"/>
    <w:rsid w:val="00536C39"/>
    <w:rsid w:val="00541731"/>
    <w:rsid w:val="00541F0A"/>
    <w:rsid w:val="00545068"/>
    <w:rsid w:val="00545829"/>
    <w:rsid w:val="00555087"/>
    <w:rsid w:val="005775B2"/>
    <w:rsid w:val="00580C40"/>
    <w:rsid w:val="00580F96"/>
    <w:rsid w:val="00583151"/>
    <w:rsid w:val="0059000E"/>
    <w:rsid w:val="005913DD"/>
    <w:rsid w:val="00591441"/>
    <w:rsid w:val="005918DC"/>
    <w:rsid w:val="0059621B"/>
    <w:rsid w:val="005A1EEE"/>
    <w:rsid w:val="005B57DF"/>
    <w:rsid w:val="005C0D12"/>
    <w:rsid w:val="005C5560"/>
    <w:rsid w:val="005D2C5A"/>
    <w:rsid w:val="005D4319"/>
    <w:rsid w:val="005E73D5"/>
    <w:rsid w:val="005F3733"/>
    <w:rsid w:val="005F6BB3"/>
    <w:rsid w:val="00600D81"/>
    <w:rsid w:val="00601168"/>
    <w:rsid w:val="006026FC"/>
    <w:rsid w:val="00603AE2"/>
    <w:rsid w:val="00604F3D"/>
    <w:rsid w:val="00613027"/>
    <w:rsid w:val="006163E2"/>
    <w:rsid w:val="00634581"/>
    <w:rsid w:val="00634F92"/>
    <w:rsid w:val="00635B3D"/>
    <w:rsid w:val="0064438B"/>
    <w:rsid w:val="00653910"/>
    <w:rsid w:val="006575A6"/>
    <w:rsid w:val="00662B6B"/>
    <w:rsid w:val="006727A8"/>
    <w:rsid w:val="00672BC9"/>
    <w:rsid w:val="00697AA7"/>
    <w:rsid w:val="006B639F"/>
    <w:rsid w:val="006C02B4"/>
    <w:rsid w:val="006C184A"/>
    <w:rsid w:val="006C6971"/>
    <w:rsid w:val="006D7909"/>
    <w:rsid w:val="006E2155"/>
    <w:rsid w:val="006E3541"/>
    <w:rsid w:val="006E37CD"/>
    <w:rsid w:val="006E63A6"/>
    <w:rsid w:val="006F5384"/>
    <w:rsid w:val="007035BA"/>
    <w:rsid w:val="00706955"/>
    <w:rsid w:val="0071381C"/>
    <w:rsid w:val="007269DA"/>
    <w:rsid w:val="00730D42"/>
    <w:rsid w:val="00731AB4"/>
    <w:rsid w:val="00732476"/>
    <w:rsid w:val="007329C4"/>
    <w:rsid w:val="00736A5C"/>
    <w:rsid w:val="007461C3"/>
    <w:rsid w:val="00746912"/>
    <w:rsid w:val="00750AE6"/>
    <w:rsid w:val="00750E2A"/>
    <w:rsid w:val="00751720"/>
    <w:rsid w:val="00761EB5"/>
    <w:rsid w:val="00772931"/>
    <w:rsid w:val="0078541C"/>
    <w:rsid w:val="0078768A"/>
    <w:rsid w:val="00791256"/>
    <w:rsid w:val="00794C06"/>
    <w:rsid w:val="00794D53"/>
    <w:rsid w:val="007A411F"/>
    <w:rsid w:val="007A5D93"/>
    <w:rsid w:val="007A604C"/>
    <w:rsid w:val="007A71A4"/>
    <w:rsid w:val="007B41B4"/>
    <w:rsid w:val="007B4403"/>
    <w:rsid w:val="007C107E"/>
    <w:rsid w:val="007C7581"/>
    <w:rsid w:val="007D05FE"/>
    <w:rsid w:val="007D75DD"/>
    <w:rsid w:val="007E04D0"/>
    <w:rsid w:val="007E1833"/>
    <w:rsid w:val="007F060E"/>
    <w:rsid w:val="007F147C"/>
    <w:rsid w:val="007F6171"/>
    <w:rsid w:val="0080113C"/>
    <w:rsid w:val="00802786"/>
    <w:rsid w:val="0080385A"/>
    <w:rsid w:val="0080509E"/>
    <w:rsid w:val="00806534"/>
    <w:rsid w:val="00807946"/>
    <w:rsid w:val="00813271"/>
    <w:rsid w:val="00813A55"/>
    <w:rsid w:val="00824D83"/>
    <w:rsid w:val="008365F5"/>
    <w:rsid w:val="00841084"/>
    <w:rsid w:val="00846633"/>
    <w:rsid w:val="00850199"/>
    <w:rsid w:val="00851529"/>
    <w:rsid w:val="008525CB"/>
    <w:rsid w:val="0086009E"/>
    <w:rsid w:val="008603CA"/>
    <w:rsid w:val="008633F2"/>
    <w:rsid w:val="00865A2C"/>
    <w:rsid w:val="008860C7"/>
    <w:rsid w:val="0089179B"/>
    <w:rsid w:val="008920AE"/>
    <w:rsid w:val="00893BDE"/>
    <w:rsid w:val="00896A68"/>
    <w:rsid w:val="008A109C"/>
    <w:rsid w:val="008A3A13"/>
    <w:rsid w:val="008B7506"/>
    <w:rsid w:val="008C2792"/>
    <w:rsid w:val="008C46FF"/>
    <w:rsid w:val="008D5DA3"/>
    <w:rsid w:val="008E12E2"/>
    <w:rsid w:val="008F0FFF"/>
    <w:rsid w:val="008F4A69"/>
    <w:rsid w:val="009004F0"/>
    <w:rsid w:val="0090090E"/>
    <w:rsid w:val="00906B0B"/>
    <w:rsid w:val="00910DFD"/>
    <w:rsid w:val="009139C8"/>
    <w:rsid w:val="00915954"/>
    <w:rsid w:val="00915FD2"/>
    <w:rsid w:val="00927AB3"/>
    <w:rsid w:val="00931C3B"/>
    <w:rsid w:val="0093547E"/>
    <w:rsid w:val="009400E6"/>
    <w:rsid w:val="00950D7D"/>
    <w:rsid w:val="00952798"/>
    <w:rsid w:val="009535AB"/>
    <w:rsid w:val="009643CE"/>
    <w:rsid w:val="00983152"/>
    <w:rsid w:val="009924A0"/>
    <w:rsid w:val="00994A80"/>
    <w:rsid w:val="009A0543"/>
    <w:rsid w:val="009C38CF"/>
    <w:rsid w:val="009D27A9"/>
    <w:rsid w:val="009E5647"/>
    <w:rsid w:val="009F3806"/>
    <w:rsid w:val="00A048BD"/>
    <w:rsid w:val="00A07FB6"/>
    <w:rsid w:val="00A35443"/>
    <w:rsid w:val="00A35D94"/>
    <w:rsid w:val="00A455C0"/>
    <w:rsid w:val="00A467D1"/>
    <w:rsid w:val="00A56352"/>
    <w:rsid w:val="00A62AD8"/>
    <w:rsid w:val="00A65269"/>
    <w:rsid w:val="00A765C0"/>
    <w:rsid w:val="00A81968"/>
    <w:rsid w:val="00A93163"/>
    <w:rsid w:val="00A95217"/>
    <w:rsid w:val="00AA1484"/>
    <w:rsid w:val="00AA2685"/>
    <w:rsid w:val="00AA2A1F"/>
    <w:rsid w:val="00AB30EC"/>
    <w:rsid w:val="00AB45CA"/>
    <w:rsid w:val="00AB5D18"/>
    <w:rsid w:val="00AC3AFE"/>
    <w:rsid w:val="00AC428E"/>
    <w:rsid w:val="00AD40AB"/>
    <w:rsid w:val="00AD51AF"/>
    <w:rsid w:val="00AF26A1"/>
    <w:rsid w:val="00AF29CA"/>
    <w:rsid w:val="00B06353"/>
    <w:rsid w:val="00B07983"/>
    <w:rsid w:val="00B204C1"/>
    <w:rsid w:val="00B22549"/>
    <w:rsid w:val="00B22F42"/>
    <w:rsid w:val="00B25806"/>
    <w:rsid w:val="00B30D17"/>
    <w:rsid w:val="00B31860"/>
    <w:rsid w:val="00B335EB"/>
    <w:rsid w:val="00B34742"/>
    <w:rsid w:val="00B37FDE"/>
    <w:rsid w:val="00B46B93"/>
    <w:rsid w:val="00B62E5A"/>
    <w:rsid w:val="00B7049E"/>
    <w:rsid w:val="00B9582F"/>
    <w:rsid w:val="00B96634"/>
    <w:rsid w:val="00BA1EED"/>
    <w:rsid w:val="00BA20B3"/>
    <w:rsid w:val="00BA2EDB"/>
    <w:rsid w:val="00BA7F0C"/>
    <w:rsid w:val="00BB15D6"/>
    <w:rsid w:val="00BB7B24"/>
    <w:rsid w:val="00BC2894"/>
    <w:rsid w:val="00BC6EF5"/>
    <w:rsid w:val="00BD7147"/>
    <w:rsid w:val="00BD7457"/>
    <w:rsid w:val="00BE1959"/>
    <w:rsid w:val="00BE2470"/>
    <w:rsid w:val="00BE7941"/>
    <w:rsid w:val="00BF23A2"/>
    <w:rsid w:val="00C017A6"/>
    <w:rsid w:val="00C01B30"/>
    <w:rsid w:val="00C22F48"/>
    <w:rsid w:val="00C2614E"/>
    <w:rsid w:val="00C2675E"/>
    <w:rsid w:val="00C267ED"/>
    <w:rsid w:val="00C30168"/>
    <w:rsid w:val="00C33701"/>
    <w:rsid w:val="00C35125"/>
    <w:rsid w:val="00C36E4E"/>
    <w:rsid w:val="00C45C89"/>
    <w:rsid w:val="00C71296"/>
    <w:rsid w:val="00C72105"/>
    <w:rsid w:val="00C77BA1"/>
    <w:rsid w:val="00C87905"/>
    <w:rsid w:val="00C950A9"/>
    <w:rsid w:val="00CA2F2D"/>
    <w:rsid w:val="00CA3EBB"/>
    <w:rsid w:val="00CA5ED7"/>
    <w:rsid w:val="00CB3061"/>
    <w:rsid w:val="00CB7719"/>
    <w:rsid w:val="00CB7C35"/>
    <w:rsid w:val="00CC2CD9"/>
    <w:rsid w:val="00CD0D0D"/>
    <w:rsid w:val="00CD2271"/>
    <w:rsid w:val="00CD6940"/>
    <w:rsid w:val="00CE02A6"/>
    <w:rsid w:val="00CF2156"/>
    <w:rsid w:val="00CF3403"/>
    <w:rsid w:val="00CF3F70"/>
    <w:rsid w:val="00D04E01"/>
    <w:rsid w:val="00D34A3D"/>
    <w:rsid w:val="00D40411"/>
    <w:rsid w:val="00D4152C"/>
    <w:rsid w:val="00D4773D"/>
    <w:rsid w:val="00D56754"/>
    <w:rsid w:val="00D64996"/>
    <w:rsid w:val="00D67A4C"/>
    <w:rsid w:val="00D77112"/>
    <w:rsid w:val="00D80C3D"/>
    <w:rsid w:val="00D974FB"/>
    <w:rsid w:val="00DA630A"/>
    <w:rsid w:val="00DB0BB5"/>
    <w:rsid w:val="00DB1098"/>
    <w:rsid w:val="00DB2F57"/>
    <w:rsid w:val="00DB6747"/>
    <w:rsid w:val="00DB7825"/>
    <w:rsid w:val="00DD1B97"/>
    <w:rsid w:val="00DE2943"/>
    <w:rsid w:val="00DE7334"/>
    <w:rsid w:val="00DF3E31"/>
    <w:rsid w:val="00DF3E85"/>
    <w:rsid w:val="00E01F3F"/>
    <w:rsid w:val="00E206CB"/>
    <w:rsid w:val="00E23A05"/>
    <w:rsid w:val="00E26837"/>
    <w:rsid w:val="00E337CF"/>
    <w:rsid w:val="00E3488D"/>
    <w:rsid w:val="00E35937"/>
    <w:rsid w:val="00E41CAB"/>
    <w:rsid w:val="00E4409D"/>
    <w:rsid w:val="00E5277C"/>
    <w:rsid w:val="00E53582"/>
    <w:rsid w:val="00E55475"/>
    <w:rsid w:val="00E65791"/>
    <w:rsid w:val="00E704A4"/>
    <w:rsid w:val="00E8159F"/>
    <w:rsid w:val="00E838C7"/>
    <w:rsid w:val="00E86D0C"/>
    <w:rsid w:val="00E902A6"/>
    <w:rsid w:val="00E931C7"/>
    <w:rsid w:val="00EA2D89"/>
    <w:rsid w:val="00EA331E"/>
    <w:rsid w:val="00EB00E1"/>
    <w:rsid w:val="00EC277E"/>
    <w:rsid w:val="00EC3012"/>
    <w:rsid w:val="00EE4095"/>
    <w:rsid w:val="00EE453C"/>
    <w:rsid w:val="00EE6F13"/>
    <w:rsid w:val="00EE79AD"/>
    <w:rsid w:val="00F0156A"/>
    <w:rsid w:val="00F10737"/>
    <w:rsid w:val="00F27998"/>
    <w:rsid w:val="00F309F8"/>
    <w:rsid w:val="00F47C36"/>
    <w:rsid w:val="00F5222E"/>
    <w:rsid w:val="00F55FB2"/>
    <w:rsid w:val="00F63689"/>
    <w:rsid w:val="00F665B8"/>
    <w:rsid w:val="00F766B9"/>
    <w:rsid w:val="00F778E9"/>
    <w:rsid w:val="00F8009E"/>
    <w:rsid w:val="00F83D6D"/>
    <w:rsid w:val="00F9032D"/>
    <w:rsid w:val="00F9373C"/>
    <w:rsid w:val="00F97C6B"/>
    <w:rsid w:val="00F97F2C"/>
    <w:rsid w:val="00FA0E64"/>
    <w:rsid w:val="00FA244A"/>
    <w:rsid w:val="00FA61AE"/>
    <w:rsid w:val="00FB23FD"/>
    <w:rsid w:val="00FC2370"/>
    <w:rsid w:val="00FC60B3"/>
    <w:rsid w:val="00FD0642"/>
    <w:rsid w:val="00FD4C77"/>
    <w:rsid w:val="00FE1AC9"/>
    <w:rsid w:val="00FE5ACE"/>
    <w:rsid w:val="00FF08AE"/>
    <w:rsid w:val="00FF13BA"/>
    <w:rsid w:val="00FF551C"/>
    <w:rsid w:val="00FF7EDA"/>
    <w:rsid w:val="07764207"/>
    <w:rsid w:val="1807506E"/>
    <w:rsid w:val="4A892982"/>
    <w:rsid w:val="58812519"/>
    <w:rsid w:val="7E91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basedOn w:val="1"/>
    <w:next w:val="1"/>
    <w:unhideWhenUsed/>
    <w:uiPriority w:val="39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4">
    <w:name w:val="toc 5"/>
    <w:basedOn w:val="1"/>
    <w:next w:val="1"/>
    <w:unhideWhenUsed/>
    <w:qFormat/>
    <w:uiPriority w:val="39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5">
    <w:name w:val="toc 3"/>
    <w:basedOn w:val="1"/>
    <w:next w:val="1"/>
    <w:unhideWhenUsed/>
    <w:qFormat/>
    <w:uiPriority w:val="39"/>
    <w:pPr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6">
    <w:name w:val="toc 8"/>
    <w:basedOn w:val="1"/>
    <w:next w:val="1"/>
    <w:unhideWhenUsed/>
    <w:qFormat/>
    <w:uiPriority w:val="39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7">
    <w:name w:val="footer"/>
    <w:basedOn w:val="1"/>
    <w:link w:val="5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5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10">
    <w:name w:val="toc 4"/>
    <w:basedOn w:val="1"/>
    <w:next w:val="1"/>
    <w:unhideWhenUsed/>
    <w:qFormat/>
    <w:uiPriority w:val="39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11">
    <w:name w:val="toc 6"/>
    <w:basedOn w:val="1"/>
    <w:next w:val="1"/>
    <w:unhideWhenUsed/>
    <w:qFormat/>
    <w:uiPriority w:val="39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12">
    <w:name w:val="toc 2"/>
    <w:basedOn w:val="1"/>
    <w:next w:val="1"/>
    <w:unhideWhenUsed/>
    <w:qFormat/>
    <w:uiPriority w:val="39"/>
    <w:pPr>
      <w:tabs>
        <w:tab w:val="right" w:leader="dot" w:pos="8296"/>
      </w:tabs>
      <w:spacing w:line="360" w:lineRule="auto"/>
      <w:ind w:left="238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13">
    <w:name w:val="toc 9"/>
    <w:basedOn w:val="1"/>
    <w:next w:val="1"/>
    <w:unhideWhenUsed/>
    <w:qFormat/>
    <w:uiPriority w:val="39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character" w:styleId="15">
    <w:name w:val="FollowedHyperlink"/>
    <w:basedOn w:val="14"/>
    <w:semiHidden/>
    <w:unhideWhenUsed/>
    <w:qFormat/>
    <w:uiPriority w:val="99"/>
    <w:rPr>
      <w:color w:val="954F72"/>
      <w:u w:val="single"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8">
    <w:name w:val="Table Grid"/>
    <w:basedOn w:val="1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9">
    <w:name w:val="标题 2 字符"/>
    <w:basedOn w:val="14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2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2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cs="Times New Roman"/>
      <w:color w:val="000000"/>
      <w:kern w:val="0"/>
      <w:sz w:val="21"/>
      <w:szCs w:val="21"/>
    </w:rPr>
  </w:style>
  <w:style w:type="paragraph" w:customStyle="1" w:styleId="24">
    <w:name w:val="xl6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color w:val="000000"/>
      <w:kern w:val="0"/>
      <w:sz w:val="21"/>
      <w:szCs w:val="21"/>
    </w:rPr>
  </w:style>
  <w:style w:type="paragraph" w:customStyle="1" w:styleId="25">
    <w:name w:val="xl66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26">
    <w:name w:val="xl67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27">
    <w:name w:val="xl6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cs="Times New Roman"/>
      <w:color w:val="000000"/>
      <w:kern w:val="0"/>
      <w:sz w:val="21"/>
      <w:szCs w:val="21"/>
    </w:rPr>
  </w:style>
  <w:style w:type="paragraph" w:customStyle="1" w:styleId="28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29">
    <w:name w:val="xl70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cs="Times New Roman"/>
      <w:kern w:val="0"/>
      <w:szCs w:val="24"/>
    </w:rPr>
  </w:style>
  <w:style w:type="paragraph" w:customStyle="1" w:styleId="30">
    <w:name w:val="xl71"/>
    <w:basedOn w:val="1"/>
    <w:qFormat/>
    <w:uiPriority w:val="0"/>
    <w:pPr>
      <w:widowControl/>
      <w:pBdr>
        <w:bottom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31">
    <w:name w:val="xl72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cs="Times New Roman"/>
      <w:kern w:val="0"/>
      <w:szCs w:val="24"/>
    </w:rPr>
  </w:style>
  <w:style w:type="paragraph" w:customStyle="1" w:styleId="32">
    <w:name w:val="xl73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color w:val="000000"/>
      <w:kern w:val="0"/>
      <w:sz w:val="21"/>
      <w:szCs w:val="21"/>
    </w:rPr>
  </w:style>
  <w:style w:type="paragraph" w:customStyle="1" w:styleId="33">
    <w:name w:val="xl74"/>
    <w:basedOn w:val="1"/>
    <w:qFormat/>
    <w:uiPriority w:val="0"/>
    <w:pPr>
      <w:widowControl/>
      <w:pBdr>
        <w:left w:val="single" w:color="auto" w:sz="8" w:space="0"/>
        <w:bottom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color w:val="000000"/>
      <w:kern w:val="0"/>
      <w:sz w:val="21"/>
      <w:szCs w:val="21"/>
    </w:rPr>
  </w:style>
  <w:style w:type="paragraph" w:customStyle="1" w:styleId="34">
    <w:name w:val="xl75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35">
    <w:name w:val="xl76"/>
    <w:basedOn w:val="1"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36">
    <w:name w:val="xl77"/>
    <w:basedOn w:val="1"/>
    <w:qFormat/>
    <w:uiPriority w:val="0"/>
    <w:pPr>
      <w:widowControl/>
      <w:pBdr>
        <w:top w:val="single" w:color="auto" w:sz="8" w:space="0"/>
        <w:left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color w:val="000000"/>
      <w:kern w:val="0"/>
      <w:sz w:val="21"/>
      <w:szCs w:val="21"/>
    </w:rPr>
  </w:style>
  <w:style w:type="paragraph" w:customStyle="1" w:styleId="37">
    <w:name w:val="xl78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color w:val="000000"/>
      <w:kern w:val="0"/>
      <w:sz w:val="21"/>
      <w:szCs w:val="21"/>
    </w:rPr>
  </w:style>
  <w:style w:type="paragraph" w:customStyle="1" w:styleId="38">
    <w:name w:val="xl79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39">
    <w:name w:val="xl80"/>
    <w:basedOn w:val="1"/>
    <w:qFormat/>
    <w:uiPriority w:val="0"/>
    <w:pPr>
      <w:widowControl/>
      <w:pBdr>
        <w:left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40">
    <w:name w:val="xl81"/>
    <w:basedOn w:val="1"/>
    <w:qFormat/>
    <w:uiPriority w:val="0"/>
    <w:pPr>
      <w:widowControl/>
      <w:pBdr>
        <w:top w:val="single" w:color="000000" w:sz="8" w:space="0"/>
        <w:left w:val="single" w:color="auto" w:sz="8" w:space="0"/>
        <w:right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41">
    <w:name w:val="xl82"/>
    <w:basedOn w:val="1"/>
    <w:qFormat/>
    <w:uiPriority w:val="0"/>
    <w:pPr>
      <w:widowControl/>
      <w:pBdr>
        <w:left w:val="single" w:color="auto" w:sz="8" w:space="0"/>
        <w:right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42">
    <w:name w:val="xl83"/>
    <w:basedOn w:val="1"/>
    <w:qFormat/>
    <w:uiPriority w:val="0"/>
    <w:pPr>
      <w:widowControl/>
      <w:pBdr>
        <w:left w:val="single" w:color="auto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43">
    <w:name w:val="xl84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44">
    <w:name w:val="xl85"/>
    <w:basedOn w:val="1"/>
    <w:qFormat/>
    <w:uiPriority w:val="0"/>
    <w:pPr>
      <w:widowControl/>
      <w:pBdr>
        <w:left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45">
    <w:name w:val="xl86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46">
    <w:name w:val="xl87"/>
    <w:basedOn w:val="1"/>
    <w:qFormat/>
    <w:uiPriority w:val="0"/>
    <w:pPr>
      <w:widowControl/>
      <w:pBdr>
        <w:top w:val="single" w:color="000000" w:sz="8" w:space="0"/>
        <w:lef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47">
    <w:name w:val="xl88"/>
    <w:basedOn w:val="1"/>
    <w:qFormat/>
    <w:uiPriority w:val="0"/>
    <w:pPr>
      <w:widowControl/>
      <w:pBdr>
        <w:top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48">
    <w:name w:val="xl89"/>
    <w:basedOn w:val="1"/>
    <w:qFormat/>
    <w:uiPriority w:val="0"/>
    <w:pPr>
      <w:widowControl/>
      <w:pBdr>
        <w:top w:val="single" w:color="000000" w:sz="8" w:space="0"/>
        <w:right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49">
    <w:name w:val="xl90"/>
    <w:basedOn w:val="1"/>
    <w:qFormat/>
    <w:uiPriority w:val="0"/>
    <w:pPr>
      <w:widowControl/>
      <w:pBdr>
        <w:lef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50">
    <w:name w:val="xl91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51">
    <w:name w:val="xl92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52">
    <w:name w:val="xl93"/>
    <w:basedOn w:val="1"/>
    <w:qFormat/>
    <w:uiPriority w:val="0"/>
    <w:pPr>
      <w:widowControl/>
      <w:pBdr>
        <w:left w:val="single" w:color="auto" w:sz="8" w:space="0"/>
        <w:bottom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53">
    <w:name w:val="xl94"/>
    <w:basedOn w:val="1"/>
    <w:qFormat/>
    <w:uiPriority w:val="0"/>
    <w:pPr>
      <w:widowControl/>
      <w:pBdr>
        <w:bottom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54">
    <w:name w:val="xl95"/>
    <w:basedOn w:val="1"/>
    <w:qFormat/>
    <w:uiPriority w:val="0"/>
    <w:pPr>
      <w:widowControl/>
      <w:pBdr>
        <w:top w:val="single" w:color="auto" w:sz="8" w:space="0"/>
        <w:left w:val="single" w:color="000000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55">
    <w:name w:val="xl9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56">
    <w:name w:val="xl97"/>
    <w:basedOn w:val="1"/>
    <w:qFormat/>
    <w:uiPriority w:val="0"/>
    <w:pPr>
      <w:widowControl/>
      <w:pBdr>
        <w:left w:val="single" w:color="000000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paragraph" w:customStyle="1" w:styleId="57">
    <w:name w:val="xl98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000000" w:sz="8" w:space="0"/>
      </w:pBdr>
      <w:spacing w:before="100" w:beforeAutospacing="1" w:after="100" w:afterAutospacing="1"/>
      <w:jc w:val="left"/>
      <w:textAlignment w:val="top"/>
    </w:pPr>
    <w:rPr>
      <w:rFonts w:cs="Times New Roman"/>
      <w:kern w:val="0"/>
      <w:sz w:val="21"/>
      <w:szCs w:val="21"/>
    </w:rPr>
  </w:style>
  <w:style w:type="character" w:customStyle="1" w:styleId="58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59">
    <w:name w:val="页脚 字符"/>
    <w:basedOn w:val="14"/>
    <w:link w:val="7"/>
    <w:qFormat/>
    <w:uiPriority w:val="99"/>
    <w:rPr>
      <w:sz w:val="18"/>
      <w:szCs w:val="18"/>
    </w:rPr>
  </w:style>
  <w:style w:type="paragraph" w:customStyle="1" w:styleId="6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customStyle="1" w:styleId="6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32"/>
      <w:szCs w:val="32"/>
    </w:rPr>
  </w:style>
  <w:style w:type="paragraph" w:customStyle="1" w:styleId="6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74F51B-B49F-4D1F-996D-A9CEA2F854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OUC</Company>
  <Pages>23</Pages>
  <Words>2113</Words>
  <Characters>12046</Characters>
  <Lines>100</Lines>
  <Paragraphs>28</Paragraphs>
  <TotalTime>0</TotalTime>
  <ScaleCrop>false</ScaleCrop>
  <LinksUpToDate>false</LinksUpToDate>
  <CharactersWithSpaces>14131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2018-02-03T21:56:00Z</dcterms:created>
  <dc:creator>Wang Zhiyang</dc:creator>
  <cp:lastModifiedBy>HP</cp:lastModifiedBy>
  <cp:lastPrinted>2018-09-28T01:34:00Z</cp:lastPrinted>
  <dcterms:modified xsi:type="dcterms:W3CDTF">2021-08-19T08:12:23Z</dcterms:modified>
  <cp:revision>341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