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关于对《海阳市养殖水域滩涂规划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（2024—2030年）》草案解读</w:t>
      </w:r>
    </w:p>
    <w:p>
      <w:pPr>
        <w:pStyle w:val="6"/>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s="宋体"/>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一、制定文件的必要性</w:t>
      </w:r>
    </w:p>
    <w:p>
      <w:pPr>
        <w:spacing w:after="0"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贯彻执行《中华人民共和国渔业法》等法律法规和国家鼓励发展水产养殖的方针政策为契机，以加强对养殖业的有效管理和保障养殖者的合法权益为宗旨，以稳定发展渔业经济为目的，以解决渔民就业问题为重点，根据国民经济和本地区经济发展计划的需要，本着“立足当前，着眼长远”的发展思路，对养殖水域、滩涂进行科学规划，为合理开发利用养殖水域、滩涂资源，提高养殖水域利用率，有效保护养殖水域生态环境，加快完善和推进管理制度，促进水产养殖事业的可持续发展提供科学依据。</w:t>
      </w:r>
    </w:p>
    <w:p>
      <w:pPr>
        <w:pStyle w:val="6"/>
        <w:keepNext w:val="0"/>
        <w:keepLines w:val="0"/>
        <w:pageBreakBefore w:val="0"/>
        <w:widowControl w:val="0"/>
        <w:kinsoku/>
        <w:wordWrap/>
        <w:overflowPunct/>
        <w:topLinePunct w:val="0"/>
        <w:autoSpaceDE/>
        <w:autoSpaceDN/>
        <w:bidi w:val="0"/>
        <w:adjustRightInd/>
        <w:snapToGrid/>
        <w:spacing w:line="560" w:lineRule="exact"/>
        <w:ind w:left="632" w:firstLine="0" w:firstLineChars="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二、</w:t>
      </w:r>
      <w:r>
        <w:rPr>
          <w:rFonts w:hint="eastAsia" w:ascii="黑体" w:hAnsi="黑体" w:eastAsia="黑体" w:cs="宋体"/>
          <w:color w:val="000000"/>
          <w:sz w:val="32"/>
          <w:szCs w:val="32"/>
          <w:lang w:val="en-US" w:eastAsia="zh-CN"/>
        </w:rPr>
        <w:t>制定</w:t>
      </w:r>
      <w:r>
        <w:rPr>
          <w:rFonts w:hint="eastAsia" w:ascii="黑体" w:hAnsi="黑体" w:eastAsia="黑体" w:cs="宋体"/>
          <w:color w:val="000000"/>
          <w:sz w:val="32"/>
          <w:szCs w:val="32"/>
        </w:rPr>
        <w:t>依据</w:t>
      </w:r>
    </w:p>
    <w:p>
      <w:pPr>
        <w:spacing w:after="0"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渔业法》和农业农村部（原农业部）下发的《养殖水域滩涂规划编制工作规范》和《养殖水域滩涂规划编制大纲》的要求，结合渔业发展和生态保护的需要，在科学评价水域滩涂资源禀赋和环境承载力的基础上，海阳市于2019年编制完成了《海阳市养殖水域滩涂规划》（2018—2030年）。2021年根据上级有关规划对《海阳市养殖水域滩涂规划（2018-2030年）》进行了修订。随着国土空间总体规划等规划的批复、自然保护地整合优化以及生态保护红线的评估调整，现有养殖水域滩涂规划难以适应新的形势，无法满足渔业生产管理需要。因此，海阳市依据海阳市国土空间总体规划（2021—2035年）、自然保护地调整等相关规划对原养殖水域滩涂规划进行了优化调整，编制《海阳市养殖水域滩涂规划（2024—2030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lang w:val="en-US" w:eastAsia="zh-CN"/>
        </w:rPr>
        <w:t>三、</w:t>
      </w:r>
      <w:r>
        <w:rPr>
          <w:rFonts w:hint="eastAsia" w:ascii="黑体" w:hAnsi="黑体" w:eastAsia="黑体" w:cs="宋体"/>
          <w:color w:val="000000"/>
          <w:sz w:val="32"/>
          <w:szCs w:val="32"/>
        </w:rPr>
        <w:t>主要内容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《海阳市养殖水域滩涂规划（20</w:t>
      </w:r>
      <w:r>
        <w:rPr>
          <w:rFonts w:hint="eastAsia" w:hAnsi="仿宋_GB2312" w:cs="仿宋_GB2312"/>
          <w:sz w:val="32"/>
          <w:szCs w:val="32"/>
          <w:lang w:val="en-US" w:eastAsia="zh-CN"/>
        </w:rPr>
        <w:t>24</w:t>
      </w:r>
      <w:r>
        <w:rPr>
          <w:rFonts w:hint="eastAsia" w:ascii="仿宋_GB2312" w:hAnsi="仿宋_GB2312" w:eastAsia="仿宋_GB2312" w:cs="仿宋_GB2312"/>
          <w:sz w:val="32"/>
          <w:szCs w:val="32"/>
        </w:rPr>
        <w:t>-2030年）》共分为</w:t>
      </w:r>
      <w:r>
        <w:rPr>
          <w:rFonts w:hint="eastAsia" w:hAnsi="仿宋_GB2312" w:cs="仿宋_GB2312"/>
          <w:sz w:val="32"/>
          <w:szCs w:val="32"/>
          <w:lang w:val="en-US" w:eastAsia="zh-CN"/>
        </w:rPr>
        <w:t>六</w:t>
      </w:r>
      <w:r>
        <w:rPr>
          <w:rFonts w:hint="eastAsia" w:ascii="仿宋_GB2312" w:hAnsi="仿宋_GB2312" w:eastAsia="仿宋_GB2312" w:cs="仿宋_GB2312"/>
          <w:sz w:val="32"/>
          <w:szCs w:val="32"/>
        </w:rPr>
        <w:t>章</w:t>
      </w:r>
      <w:r>
        <w:rPr>
          <w:rFonts w:hint="eastAsia" w:hAnsi="仿宋_GB2312" w:cs="仿宋_GB2312"/>
          <w:sz w:val="32"/>
          <w:szCs w:val="32"/>
          <w:lang w:val="en-US" w:eastAsia="zh-CN"/>
        </w:rPr>
        <w:t>十九节</w:t>
      </w:r>
      <w:r>
        <w:rPr>
          <w:rFonts w:hint="eastAsia" w:ascii="仿宋_GB2312" w:hAnsi="仿宋_GB2312" w:eastAsia="仿宋_GB2312" w:cs="仿宋_GB2312"/>
          <w:sz w:val="32"/>
          <w:szCs w:val="32"/>
        </w:rPr>
        <w:t>，科学划定了养殖区、限养区和禁养区，稳定基本养殖水域，控制近海养殖规模，拓展外海养殖空间。科学布局海水养殖，按照养殖容量合理确定养殖品种、密度和面积。滩涂规划中的养殖水域滩涂是指海阳市管辖区域内，已经进行水产养殖开发利用和目前尚未开发但适于水产养殖开发利用的所有（全民、集体）区域，统筹划分海水和淡水养殖区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textAlignment w:val="auto"/>
        <w:rPr>
          <w:rFonts w:hint="default"/>
          <w:lang w:val="en-US" w:eastAsia="zh-CN"/>
        </w:rPr>
      </w:pPr>
      <w:r>
        <w:rPr>
          <w:rFonts w:hint="eastAsia" w:ascii="黑体" w:hAnsi="黑体" w:eastAsia="黑体" w:cs="宋体"/>
          <w:color w:val="000000"/>
          <w:sz w:val="32"/>
          <w:szCs w:val="32"/>
          <w:lang w:val="en-US" w:eastAsia="zh-CN"/>
        </w:rPr>
        <w:t>四</w:t>
      </w:r>
      <w:r>
        <w:rPr>
          <w:rFonts w:hint="default" w:ascii="黑体" w:hAnsi="黑体" w:eastAsia="黑体" w:cs="宋体"/>
          <w:color w:val="000000"/>
          <w:sz w:val="32"/>
          <w:szCs w:val="32"/>
          <w:lang w:val="en-US" w:eastAsia="zh-CN"/>
        </w:rPr>
        <w:t>、关键词解释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一）海水禁止养殖区：不得开展水产养殖，但允许开展与生态产业相关的活动，如科研考察、重要的生物物种保护及其增殖放流等相关工作。禁止养殖区内现已开展的水产养殖由海阳市政府提出处理方案。交通运输用海区在基本功能未利用时，水产养殖活动应予以保留。渔民传统养殖海域内，允许传统渔民开展生产活动保障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（二）淡水禁止养殖区：禁止开展水产养殖，允许开展生态养护型增殖放流活动。禁止养殖区内现有的养殖设施由海阳市政府依法依规提出处理方案。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海水限制养殖区</w:t>
      </w:r>
      <w:r>
        <w:rPr>
          <w:rFonts w:hint="eastAsia"/>
          <w:lang w:val="en-US" w:eastAsia="zh-CN"/>
        </w:rPr>
        <w:t>：</w:t>
      </w:r>
      <w:r>
        <w:rPr>
          <w:rFonts w:hint="default"/>
          <w:lang w:val="en-US" w:eastAsia="zh-CN"/>
        </w:rPr>
        <w:t>按照相关法律法规对养殖方式、品种、容量进行适度限制，提出具体管控要求。自然保护地限制养殖区、生态保护红线限制养殖区仅允许原住居民和其他合法权益主体，在不扩大现有规模和利用强度的前提下，开展捕捞、养殖（不包括投礁型海洋牧场、围海养殖）等生产生活活动，修筑生产生活设施。对于基本功能未利用时兼容渔业的限制养殖区，海阳市政府依法依规在其基本功能利用时清退养殖活动。限制养殖区内不符合法律法规的水产养殖，限期进行治理，治理不达标的由海阳市政府依法依规提出处理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lang w:val="en-US" w:eastAsia="zh-CN"/>
        </w:rPr>
        <w:t>淡水限制养殖区：按照相关法律法规对养殖方式、品种、容量进行适度限制，提出具体管控要求。自然保护地限制养殖区、生态保护红线限制养殖区仅允许原住居民和其他合法权益主体，在不扩大现有规模和利用强度的前提下，开展捕捞、养殖等生产生活活动，修筑生产生活设施。限制养殖区内不符合法律法规的水产养殖，限期进行治理，治理不达标的由的海阳市政府依法依规提出处理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海水养殖区：包括海水养殖区和陆基海水养殖区，陆基海水养殖区不规定具体坐标范围，可根据滨海陆地自然条件和渔业发展需求开展。新增陆域海水池塘和工厂化养殖用地，纳入本规划进行管理。在荒滩、荒地和非基本农田等适宜养殖区域，经渔业主管部门审核后，可纳入本规划养殖区管理。陆基海水养殖区按照《水养殖质量安全管理规定》等相关法律法规，科学布局养殖活动。海水养殖区发展模式主要包括浅海开放式养殖、网箱养殖、底播养殖、池塘养殖和工厂化养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0"/>
        <w:textAlignment w:val="auto"/>
        <w:rPr>
          <w:rFonts w:hint="default"/>
          <w:lang w:val="en-US" w:eastAsia="zh-CN"/>
        </w:rPr>
      </w:pPr>
      <w:r>
        <w:rPr>
          <w:rFonts w:hint="eastAsia" w:ascii="黑体" w:hAnsi="黑体" w:eastAsia="黑体" w:cs="宋体"/>
          <w:color w:val="000000"/>
          <w:sz w:val="32"/>
          <w:szCs w:val="32"/>
          <w:lang w:val="en-US" w:eastAsia="zh-CN"/>
        </w:rPr>
        <w:t>五</w:t>
      </w:r>
      <w:r>
        <w:rPr>
          <w:rFonts w:hint="default" w:ascii="黑体" w:hAnsi="黑体" w:eastAsia="黑体" w:cs="宋体"/>
          <w:color w:val="000000"/>
          <w:sz w:val="32"/>
          <w:szCs w:val="32"/>
          <w:lang w:val="en-US" w:eastAsia="zh-CN"/>
        </w:rPr>
        <w:t>、政策解读单位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解读单位：</w:t>
      </w:r>
      <w:r>
        <w:rPr>
          <w:rFonts w:hint="eastAsia" w:ascii="仿宋_GB2312" w:eastAsia="仿宋_GB2312"/>
          <w:lang w:val="en-US" w:eastAsia="zh-CN"/>
        </w:rPr>
        <w:t>海阳市</w:t>
      </w:r>
      <w:r>
        <w:rPr>
          <w:rFonts w:hint="default"/>
          <w:lang w:val="en-US" w:eastAsia="zh-CN"/>
        </w:rPr>
        <w:t>海洋发展和渔业局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default"/>
          <w:lang w:val="en-US" w:eastAsia="zh-CN"/>
        </w:rPr>
        <w:t>解读电话：0535-</w:t>
      </w:r>
      <w:r>
        <w:rPr>
          <w:rFonts w:hint="eastAsia" w:ascii="仿宋_GB2312" w:eastAsia="仿宋_GB2312"/>
          <w:lang w:val="en-US" w:eastAsia="zh-CN"/>
        </w:rPr>
        <w:t>323</w:t>
      </w:r>
      <w:r>
        <w:rPr>
          <w:rFonts w:hint="eastAsia"/>
          <w:lang w:val="en-US" w:eastAsia="zh-CN"/>
        </w:rPr>
        <w:t>6161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hAnsi="仿宋" w:cs="宋体"/>
          <w:color w:val="000000"/>
          <w:lang w:val="en-US" w:eastAsia="zh-CN"/>
        </w:rPr>
      </w:pPr>
      <w:r>
        <w:rPr>
          <w:rFonts w:hint="eastAsia" w:hAnsi="仿宋" w:cs="宋体"/>
          <w:color w:val="000000"/>
          <w:lang w:val="en-US" w:eastAsia="zh-CN"/>
        </w:rPr>
        <w:t>海阳市海洋发展和渔业局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lang w:val="en-US" w:eastAsia="zh-CN"/>
        </w:rPr>
      </w:pPr>
      <w:bookmarkStart w:id="0" w:name="_GoBack"/>
      <w:bookmarkEnd w:id="0"/>
      <w:r>
        <w:rPr>
          <w:rFonts w:hint="eastAsia" w:hAnsi="仿宋" w:cs="宋体"/>
          <w:color w:val="000000"/>
          <w:lang w:val="en-US" w:eastAsia="zh-CN"/>
        </w:rPr>
        <w:t>2025年6月5日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Ansi="仿宋" w:cs="宋体"/>
          <w:color w:val="00000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2367280</wp:posOffset>
              </wp:positionH>
              <wp:positionV relativeFrom="paragraph">
                <wp:posOffset>-152400</wp:posOffset>
              </wp:positionV>
              <wp:extent cx="796290"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62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12pt;height:24.15pt;width:62.7pt;mso-position-horizontal-relative:margin;z-index:251659264;mso-width-relative:page;mso-height-relative:page;" filled="f" stroked="f" coordsize="21600,21600" o:gfxdata="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cuNaq2QAAAAoBAAAPAAAA&#10;AAAAAAEAIAAAADgAAABkcnMvZG93bnJldi54bWxQSwECFAAUAAAACACHTuJA2GlXQzcCAABhBAAA&#10;DgAAAAAAAAABACAAAAA+AQAAZHJzL2Uyb0RvYy54bWxQSwUGAAAAAAYABgBZAQAA5w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87871"/>
    <w:multiLevelType w:val="singleLevel"/>
    <w:tmpl w:val="C6F878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YjZmMDg2Y2RlNTk3NDZkZTI3NjcwMzk3Zjk4MGMifQ=="/>
  </w:docVars>
  <w:rsids>
    <w:rsidRoot w:val="15901CC5"/>
    <w:rsid w:val="0B6746FC"/>
    <w:rsid w:val="0C7D6E78"/>
    <w:rsid w:val="0E815635"/>
    <w:rsid w:val="116D1571"/>
    <w:rsid w:val="128D3EE7"/>
    <w:rsid w:val="15901CC5"/>
    <w:rsid w:val="188161A4"/>
    <w:rsid w:val="19D06FBB"/>
    <w:rsid w:val="1C8E6DC8"/>
    <w:rsid w:val="1D1F716E"/>
    <w:rsid w:val="20743DDE"/>
    <w:rsid w:val="212D5A45"/>
    <w:rsid w:val="22DB73D3"/>
    <w:rsid w:val="2B670E86"/>
    <w:rsid w:val="32BF0898"/>
    <w:rsid w:val="34282918"/>
    <w:rsid w:val="373009EF"/>
    <w:rsid w:val="394949AC"/>
    <w:rsid w:val="3A794221"/>
    <w:rsid w:val="3B7862E7"/>
    <w:rsid w:val="3BDB1FFF"/>
    <w:rsid w:val="41634CD9"/>
    <w:rsid w:val="44D66FA0"/>
    <w:rsid w:val="48B62159"/>
    <w:rsid w:val="49D74186"/>
    <w:rsid w:val="4C9A0A76"/>
    <w:rsid w:val="4E4772C1"/>
    <w:rsid w:val="4FE0557F"/>
    <w:rsid w:val="516875C6"/>
    <w:rsid w:val="58391242"/>
    <w:rsid w:val="5A9A1CF3"/>
    <w:rsid w:val="5F5E3B23"/>
    <w:rsid w:val="65EB0AB3"/>
    <w:rsid w:val="6B7665D1"/>
    <w:rsid w:val="6BDB342E"/>
    <w:rsid w:val="6ED732ED"/>
    <w:rsid w:val="6FF53E6A"/>
    <w:rsid w:val="73797B6F"/>
    <w:rsid w:val="774D31B1"/>
    <w:rsid w:val="77D445A5"/>
    <w:rsid w:val="798E2C34"/>
    <w:rsid w:val="79CC7A00"/>
    <w:rsid w:val="7CF1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0"/>
    <w:pPr>
      <w:ind w:firstLine="420" w:firstLineChars="200"/>
    </w:pPr>
    <w:rPr>
      <w:rFonts w:ascii="Times New Roman" w:eastAsia="宋体"/>
      <w:sz w:val="21"/>
      <w:szCs w:val="24"/>
    </w:rPr>
  </w:style>
  <w:style w:type="character" w:customStyle="1" w:styleId="7">
    <w:name w:val="NormalCharacter"/>
    <w:link w:val="1"/>
    <w:qFormat/>
    <w:uiPriority w:val="0"/>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1036</Words>
  <Characters>1049</Characters>
  <Lines>0</Lines>
  <Paragraphs>0</Paragraphs>
  <TotalTime>1</TotalTime>
  <ScaleCrop>false</ScaleCrop>
  <LinksUpToDate>false</LinksUpToDate>
  <CharactersWithSpaces>1049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2020-01-07T00:35:00Z</dcterms:created>
  <dc:creator>陈良钰</dc:creator>
  <cp:lastModifiedBy>user</cp:lastModifiedBy>
  <dcterms:modified xsi:type="dcterms:W3CDTF">2025-07-01T10:56:06Z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2D7F1135DC6B45079979DB3F76FD1647_13</vt:lpwstr>
  </property>
  <property fmtid="{D5CDD505-2E9C-101B-9397-08002B2CF9AE}" pid="4" name="KSOTemplateDocerSaveRecord">
    <vt:lpwstr>eyJoZGlkIjoiMGUyMzJkMWI2NzI3NDg1NjE0Mzg0MTQ0YTBlNjQ4ZmMiLCJ1c2VySWQiOiI0Mjc0MDY5NzQifQ==</vt:lpwstr>
  </property>
</Properties>
</file>