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宋体" w:cs="Times New Roman"/>
          <w:b/>
          <w:sz w:val="48"/>
          <w:szCs w:val="48"/>
        </w:rPr>
      </w:pPr>
      <w:r>
        <w:rPr>
          <w:rFonts w:hint="eastAsia" w:ascii="Times New Roman" w:hAnsi="Times New Roman" w:eastAsia="宋体" w:cs="Times New Roman"/>
          <w:b/>
          <w:sz w:val="48"/>
          <w:szCs w:val="48"/>
        </w:rPr>
        <w:t>附件1</w:t>
      </w:r>
    </w:p>
    <w:p>
      <w:pPr>
        <w:jc w:val="center"/>
        <w:rPr>
          <w:rFonts w:ascii="Times New Roman" w:hAnsi="Times New Roman" w:cs="Times New Roman"/>
          <w:sz w:val="44"/>
        </w:rPr>
      </w:pPr>
    </w:p>
    <w:p>
      <w:pPr>
        <w:jc w:val="center"/>
        <w:rPr>
          <w:rFonts w:ascii="Times New Roman" w:hAnsi="Times New Roman" w:cs="Times New Roman"/>
          <w:sz w:val="44"/>
        </w:rPr>
      </w:pPr>
    </w:p>
    <w:p>
      <w:pPr>
        <w:jc w:val="center"/>
        <w:rPr>
          <w:rFonts w:ascii="Times New Roman" w:hAnsi="Times New Roman" w:cs="Times New Roman"/>
          <w:sz w:val="44"/>
        </w:rPr>
      </w:pPr>
    </w:p>
    <w:p>
      <w:pPr>
        <w:jc w:val="center"/>
        <w:rPr>
          <w:rFonts w:ascii="Times New Roman" w:hAnsi="Times New Roman" w:cs="Times New Roman"/>
          <w:sz w:val="52"/>
          <w:szCs w:val="52"/>
        </w:rPr>
      </w:pPr>
    </w:p>
    <w:p>
      <w:pPr>
        <w:jc w:val="center"/>
        <w:rPr>
          <w:rFonts w:hint="eastAsia" w:ascii="Times New Roman" w:hAnsi="Times New Roman" w:cs="Times New Roman" w:eastAsiaTheme="minorEastAsia"/>
          <w:sz w:val="44"/>
          <w:szCs w:val="44"/>
          <w:lang w:eastAsia="zh-CN"/>
        </w:rPr>
      </w:pPr>
      <w:bookmarkStart w:id="32" w:name="_GoBack"/>
      <w:r>
        <w:rPr>
          <w:rFonts w:ascii="Times New Roman" w:hAnsi="Times New Roman" w:eastAsia="宋体" w:cs="Times New Roman"/>
          <w:b/>
          <w:sz w:val="44"/>
          <w:szCs w:val="44"/>
        </w:rPr>
        <w:t>海阳市养殖水域滩涂规划</w:t>
      </w:r>
      <w:r>
        <w:rPr>
          <w:rFonts w:ascii="Times New Roman" w:hAnsi="Times New Roman" w:cs="Times New Roman"/>
          <w:sz w:val="44"/>
          <w:szCs w:val="44"/>
        </w:rPr>
        <w:t>（</w:t>
      </w:r>
      <w:r>
        <w:rPr>
          <w:rFonts w:ascii="Times New Roman" w:hAnsi="Times New Roman" w:cs="Times New Roman"/>
          <w:b/>
          <w:sz w:val="44"/>
          <w:szCs w:val="44"/>
        </w:rPr>
        <w:t>2018-2030年</w:t>
      </w:r>
      <w:r>
        <w:rPr>
          <w:rFonts w:ascii="Times New Roman" w:hAnsi="Times New Roman" w:cs="Times New Roman"/>
          <w:sz w:val="44"/>
          <w:szCs w:val="44"/>
        </w:rPr>
        <w:t>）</w:t>
      </w:r>
      <w:r>
        <w:rPr>
          <w:rFonts w:hint="eastAsia" w:ascii="Times New Roman" w:hAnsi="Times New Roman" w:cs="Times New Roman"/>
          <w:sz w:val="44"/>
          <w:szCs w:val="44"/>
          <w:lang w:eastAsia="zh-CN"/>
        </w:rPr>
        <w:t>（</w:t>
      </w:r>
      <w:r>
        <w:rPr>
          <w:rFonts w:hint="eastAsia" w:ascii="Times New Roman" w:hAnsi="Times New Roman" w:cs="Times New Roman"/>
          <w:sz w:val="44"/>
          <w:szCs w:val="44"/>
          <w:lang w:val="en-US" w:eastAsia="zh-CN"/>
        </w:rPr>
        <w:t>修订版</w:t>
      </w:r>
      <w:r>
        <w:rPr>
          <w:rFonts w:hint="eastAsia" w:ascii="Times New Roman" w:hAnsi="Times New Roman" w:cs="Times New Roman"/>
          <w:sz w:val="44"/>
          <w:szCs w:val="44"/>
          <w:lang w:eastAsia="zh-CN"/>
        </w:rPr>
        <w:t>）</w:t>
      </w:r>
    </w:p>
    <w:bookmarkEnd w:id="32"/>
    <w:p>
      <w:pPr>
        <w:jc w:val="center"/>
        <w:rPr>
          <w:rFonts w:ascii="Times New Roman" w:hAnsi="Times New Roman" w:eastAsia="宋体" w:cs="Times New Roman"/>
          <w:b/>
          <w:sz w:val="44"/>
          <w:szCs w:val="44"/>
        </w:rPr>
      </w:pPr>
      <w:r>
        <w:rPr>
          <w:rFonts w:hint="eastAsia" w:ascii="Times New Roman" w:hAnsi="Times New Roman" w:eastAsia="宋体" w:cs="Times New Roman"/>
          <w:b/>
          <w:sz w:val="44"/>
          <w:szCs w:val="44"/>
        </w:rPr>
        <w:t>编制说明</w:t>
      </w:r>
    </w:p>
    <w:p>
      <w:pPr>
        <w:adjustRightInd w:val="0"/>
        <w:snapToGrid w:val="0"/>
        <w:jc w:val="center"/>
        <w:rPr>
          <w:rFonts w:ascii="Times New Roman" w:hAnsi="Times New Roman" w:cs="Times New Roman"/>
          <w:sz w:val="44"/>
          <w:szCs w:val="44"/>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6"/>
          <w:szCs w:val="36"/>
        </w:rPr>
      </w:pPr>
    </w:p>
    <w:p>
      <w:pPr>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二零</w:t>
      </w:r>
      <w:r>
        <w:rPr>
          <w:rFonts w:hint="eastAsia" w:ascii="Times New Roman" w:hAnsi="Times New Roman" w:eastAsia="宋体" w:cs="Times New Roman"/>
          <w:b/>
          <w:sz w:val="36"/>
          <w:szCs w:val="36"/>
          <w:lang w:val="en-US" w:eastAsia="zh-CN"/>
        </w:rPr>
        <w:t>二一</w:t>
      </w:r>
      <w:r>
        <w:rPr>
          <w:rFonts w:ascii="Times New Roman" w:hAnsi="Times New Roman" w:eastAsia="宋体" w:cs="Times New Roman"/>
          <w:b/>
          <w:sz w:val="36"/>
          <w:szCs w:val="36"/>
        </w:rPr>
        <w:t>年</w:t>
      </w:r>
    </w:p>
    <w:p>
      <w:pPr>
        <w:widowControl/>
        <w:jc w:val="center"/>
        <w:rPr>
          <w:rFonts w:ascii="Times New Roman" w:hAnsi="Times New Roman" w:cs="Times New Roman"/>
          <w:sz w:val="24"/>
        </w:rPr>
      </w:pPr>
    </w:p>
    <w:p>
      <w:pPr>
        <w:widowControl/>
        <w:jc w:val="center"/>
        <w:rPr>
          <w:rFonts w:ascii="Times New Roman" w:hAnsi="Times New Roman" w:cs="Times New Roman"/>
          <w:sz w:val="24"/>
        </w:rPr>
      </w:pPr>
    </w:p>
    <w:p>
      <w:pPr>
        <w:widowControl/>
        <w:jc w:val="left"/>
        <w:rPr>
          <w:rFonts w:ascii="Times New Roman" w:hAnsi="Times New Roman" w:cs="Times New Roman"/>
        </w:rPr>
      </w:pPr>
      <w:r>
        <w:rPr>
          <w:rFonts w:ascii="Times New Roman" w:hAnsi="Times New Roman" w:cs="Times New Roman"/>
        </w:rPr>
        <w:br w:type="page"/>
      </w:r>
    </w:p>
    <w:p>
      <w:pPr>
        <w:jc w:val="center"/>
        <w:rPr>
          <w:rFonts w:ascii="Times New Roman" w:hAnsi="Times New Roman" w:cs="Times New Roman"/>
          <w:b/>
          <w:sz w:val="44"/>
          <w:szCs w:val="44"/>
        </w:rPr>
      </w:pPr>
      <w:r>
        <w:rPr>
          <w:rFonts w:ascii="Times New Roman" w:hAnsi="Times New Roman" w:cs="Times New Roman"/>
          <w:b/>
          <w:sz w:val="44"/>
          <w:szCs w:val="44"/>
        </w:rPr>
        <w:t>目  录</w:t>
      </w:r>
    </w:p>
    <w:p>
      <w:pPr>
        <w:jc w:val="center"/>
        <w:rPr>
          <w:rFonts w:ascii="Times New Roman" w:hAnsi="Times New Roman" w:cs="Times New Roman"/>
          <w:b/>
          <w:sz w:val="44"/>
          <w:szCs w:val="44"/>
        </w:rPr>
      </w:pPr>
    </w:p>
    <w:p>
      <w:pPr>
        <w:pStyle w:val="6"/>
        <w:tabs>
          <w:tab w:val="right" w:leader="dot" w:pos="8296"/>
        </w:tabs>
        <w:spacing w:line="360" w:lineRule="auto"/>
        <w:rPr>
          <w:rFonts w:ascii="Times New Roman" w:hAnsi="Times New Roman" w:eastAsiaTheme="majorEastAsia"/>
          <w:sz w:val="24"/>
          <w:szCs w:val="24"/>
        </w:rPr>
      </w:pP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TOC \o "1-2" \h \z \u </w:instrText>
      </w:r>
      <w:r>
        <w:rPr>
          <w:rFonts w:ascii="Times New Roman" w:hAnsi="Times New Roman" w:eastAsiaTheme="majorEastAsia"/>
          <w:sz w:val="24"/>
          <w:szCs w:val="24"/>
        </w:rPr>
        <w:fldChar w:fldCharType="separate"/>
      </w:r>
      <w:r>
        <w:fldChar w:fldCharType="begin"/>
      </w:r>
      <w:r>
        <w:instrText xml:space="preserve"> HYPERLINK \l "_Toc488925168" </w:instrText>
      </w:r>
      <w:r>
        <w:fldChar w:fldCharType="separate"/>
      </w:r>
      <w:r>
        <w:rPr>
          <w:rStyle w:val="10"/>
          <w:rFonts w:ascii="Times New Roman" w:hAnsi="Times New Roman" w:eastAsiaTheme="majorEastAsia"/>
          <w:b/>
          <w:sz w:val="24"/>
          <w:szCs w:val="24"/>
        </w:rPr>
        <w:t>一、总论</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_Toc488925168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1</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"_Toc488925169" </w:instrText>
      </w:r>
      <w:r>
        <w:fldChar w:fldCharType="separate"/>
      </w:r>
      <w:r>
        <w:rPr>
          <w:rStyle w:val="10"/>
          <w:rFonts w:ascii="Times New Roman" w:hAnsi="Times New Roman" w:eastAsiaTheme="majorEastAsia"/>
          <w:sz w:val="24"/>
          <w:szCs w:val="24"/>
        </w:rPr>
        <w:t>（一）规划编制任务</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_Toc488925169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1</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"_Toc488925170" </w:instrText>
      </w:r>
      <w:r>
        <w:fldChar w:fldCharType="separate"/>
      </w:r>
      <w:r>
        <w:rPr>
          <w:rStyle w:val="10"/>
          <w:rFonts w:ascii="Times New Roman" w:hAnsi="Times New Roman" w:eastAsiaTheme="majorEastAsia"/>
          <w:sz w:val="24"/>
          <w:szCs w:val="24"/>
        </w:rPr>
        <w:t>（二）规划编制背景</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_Toc488925170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1</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"_Toc488925171"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三</w:t>
      </w:r>
      <w:r>
        <w:rPr>
          <w:rStyle w:val="10"/>
          <w:rFonts w:ascii="Times New Roman" w:hAnsi="Times New Roman" w:eastAsiaTheme="majorEastAsia"/>
          <w:sz w:val="24"/>
          <w:szCs w:val="24"/>
        </w:rPr>
        <w:t>）规划编制指导思想</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_Toc488925171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2</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"_Toc488925172"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四</w:t>
      </w:r>
      <w:r>
        <w:rPr>
          <w:rStyle w:val="10"/>
          <w:rFonts w:ascii="Times New Roman" w:hAnsi="Times New Roman" w:eastAsiaTheme="majorEastAsia"/>
          <w:sz w:val="24"/>
          <w:szCs w:val="24"/>
        </w:rPr>
        <w:t>）规划编制</w:t>
      </w:r>
      <w:r>
        <w:rPr>
          <w:rStyle w:val="10"/>
          <w:rFonts w:ascii="Times New Roman" w:hAnsi="Times New Roman" w:eastAsiaTheme="majorEastAsia"/>
          <w:sz w:val="24"/>
          <w:szCs w:val="24"/>
          <w:lang w:eastAsia="zh-CN"/>
        </w:rPr>
        <w:t>的</w:t>
      </w:r>
      <w:r>
        <w:rPr>
          <w:rStyle w:val="10"/>
          <w:rFonts w:ascii="Times New Roman" w:hAnsi="Times New Roman" w:eastAsiaTheme="majorEastAsia"/>
          <w:sz w:val="24"/>
          <w:szCs w:val="24"/>
        </w:rPr>
        <w:t>思路</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_Toc488925172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2</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"_Toc488925173"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五</w:t>
      </w:r>
      <w:r>
        <w:rPr>
          <w:rStyle w:val="10"/>
          <w:rFonts w:ascii="Times New Roman" w:hAnsi="Times New Roman" w:eastAsiaTheme="majorEastAsia"/>
          <w:sz w:val="24"/>
          <w:szCs w:val="24"/>
        </w:rPr>
        <w:t>）规划重点</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_Toc488925173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2</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"_Toc488925174" </w:instrText>
      </w:r>
      <w:r>
        <w:fldChar w:fldCharType="separate"/>
      </w:r>
      <w:r>
        <w:rPr>
          <w:rStyle w:val="10"/>
          <w:rFonts w:ascii="Times New Roman" w:hAnsi="Times New Roman" w:eastAsiaTheme="majorEastAsia"/>
          <w:sz w:val="24"/>
          <w:szCs w:val="24"/>
        </w:rPr>
        <w:t>（六）规划</w:t>
      </w:r>
      <w:r>
        <w:rPr>
          <w:rStyle w:val="10"/>
          <w:rFonts w:ascii="Times New Roman" w:hAnsi="Times New Roman" w:eastAsiaTheme="majorEastAsia"/>
          <w:sz w:val="24"/>
          <w:szCs w:val="24"/>
          <w:lang w:eastAsia="zh-CN"/>
        </w:rPr>
        <w:t>原则</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_Toc488925174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3</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"_Toc488925175"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七</w:t>
      </w:r>
      <w:r>
        <w:rPr>
          <w:rStyle w:val="10"/>
          <w:rFonts w:ascii="Times New Roman" w:hAnsi="Times New Roman" w:eastAsiaTheme="majorEastAsia"/>
          <w:sz w:val="24"/>
          <w:szCs w:val="24"/>
        </w:rPr>
        <w:t>）规划</w:t>
      </w:r>
      <w:r>
        <w:rPr>
          <w:rStyle w:val="10"/>
          <w:rFonts w:ascii="Times New Roman" w:hAnsi="Times New Roman" w:eastAsiaTheme="majorEastAsia"/>
          <w:sz w:val="24"/>
          <w:szCs w:val="24"/>
          <w:lang w:eastAsia="zh-CN"/>
        </w:rPr>
        <w:t>范围</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_Toc488925175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4</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6"/>
        <w:tabs>
          <w:tab w:val="right" w:leader="dot" w:pos="8296"/>
        </w:tabs>
        <w:spacing w:line="360" w:lineRule="auto"/>
        <w:rPr>
          <w:rFonts w:ascii="Times New Roman" w:hAnsi="Times New Roman" w:eastAsiaTheme="majorEastAsia"/>
          <w:sz w:val="24"/>
          <w:szCs w:val="24"/>
        </w:rPr>
      </w:pPr>
      <w:r>
        <w:fldChar w:fldCharType="begin"/>
      </w:r>
      <w:r>
        <w:instrText xml:space="preserve"> HYPERLINK \l "_Toc488925176" </w:instrText>
      </w:r>
      <w:r>
        <w:fldChar w:fldCharType="separate"/>
      </w:r>
      <w:r>
        <w:rPr>
          <w:rStyle w:val="10"/>
          <w:rFonts w:ascii="Times New Roman" w:hAnsi="Times New Roman" w:eastAsiaTheme="majorEastAsia"/>
          <w:b/>
          <w:sz w:val="24"/>
          <w:szCs w:val="24"/>
        </w:rPr>
        <w:t>二、规划的主要内容</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_Toc488925176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4</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6"/>
        <w:tabs>
          <w:tab w:val="right" w:leader="dot" w:pos="8296"/>
        </w:tabs>
        <w:spacing w:line="360" w:lineRule="auto"/>
        <w:rPr>
          <w:rFonts w:ascii="Times New Roman" w:hAnsi="Times New Roman" w:eastAsiaTheme="majorEastAsia"/>
          <w:sz w:val="24"/>
          <w:szCs w:val="24"/>
        </w:rPr>
      </w:pPr>
      <w:r>
        <w:fldChar w:fldCharType="begin"/>
      </w:r>
      <w:r>
        <w:instrText xml:space="preserve"> HYPERLINK \l "_Toc488925177" </w:instrText>
      </w:r>
      <w:r>
        <w:fldChar w:fldCharType="separate"/>
      </w:r>
      <w:r>
        <w:rPr>
          <w:rStyle w:val="10"/>
          <w:rFonts w:ascii="Times New Roman" w:hAnsi="Times New Roman" w:eastAsiaTheme="majorEastAsia"/>
          <w:b/>
          <w:sz w:val="24"/>
          <w:szCs w:val="24"/>
        </w:rPr>
        <w:t>三、规划的编制过程</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_Toc488925177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5</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"_Toc488925178" </w:instrText>
      </w:r>
      <w:r>
        <w:fldChar w:fldCharType="separate"/>
      </w:r>
      <w:r>
        <w:rPr>
          <w:rStyle w:val="10"/>
          <w:rFonts w:ascii="Times New Roman" w:hAnsi="Times New Roman" w:eastAsiaTheme="majorEastAsia"/>
          <w:sz w:val="24"/>
          <w:szCs w:val="24"/>
        </w:rPr>
        <w:t>（一）组织落实</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_Toc488925178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5</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"_Toc488925179"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二</w:t>
      </w:r>
      <w:r>
        <w:rPr>
          <w:rStyle w:val="10"/>
          <w:rFonts w:ascii="Times New Roman" w:hAnsi="Times New Roman" w:eastAsiaTheme="majorEastAsia"/>
          <w:sz w:val="24"/>
          <w:szCs w:val="24"/>
        </w:rPr>
        <w:t>）</w:t>
      </w:r>
      <w:r>
        <w:rPr>
          <w:rStyle w:val="10"/>
          <w:rFonts w:ascii="Times New Roman" w:hAnsi="Times New Roman" w:eastAsiaTheme="majorEastAsia"/>
          <w:sz w:val="24"/>
          <w:szCs w:val="24"/>
          <w:lang w:val="en-US"/>
        </w:rPr>
        <w:t>资料收集、规划调研与外业调查</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_Toc488925179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5</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"_Toc488925180"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三</w:t>
      </w:r>
      <w:r>
        <w:rPr>
          <w:rStyle w:val="10"/>
          <w:rFonts w:ascii="Times New Roman" w:hAnsi="Times New Roman" w:eastAsiaTheme="majorEastAsia"/>
          <w:sz w:val="24"/>
          <w:szCs w:val="24"/>
        </w:rPr>
        <w:t>）</w:t>
      </w:r>
      <w:r>
        <w:rPr>
          <w:rStyle w:val="10"/>
          <w:rFonts w:ascii="Times New Roman" w:hAnsi="Times New Roman" w:eastAsiaTheme="majorEastAsia"/>
          <w:sz w:val="24"/>
          <w:szCs w:val="24"/>
          <w:lang w:val="en-US" w:eastAsia="zh-CN"/>
        </w:rPr>
        <w:t>报告</w:t>
      </w:r>
      <w:r>
        <w:rPr>
          <w:rStyle w:val="10"/>
          <w:rFonts w:ascii="Times New Roman" w:hAnsi="Times New Roman" w:eastAsiaTheme="majorEastAsia"/>
          <w:sz w:val="24"/>
          <w:szCs w:val="24"/>
          <w:lang w:val="en-US"/>
        </w:rPr>
        <w:t>编写和图件绘制</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_Toc488925180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5</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"_Toc488925181"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四</w:t>
      </w:r>
      <w:r>
        <w:rPr>
          <w:rStyle w:val="10"/>
          <w:rFonts w:ascii="Times New Roman" w:hAnsi="Times New Roman" w:eastAsiaTheme="majorEastAsia"/>
          <w:sz w:val="24"/>
          <w:szCs w:val="24"/>
        </w:rPr>
        <w:t>）</w:t>
      </w:r>
      <w:r>
        <w:rPr>
          <w:rStyle w:val="10"/>
          <w:rFonts w:ascii="Times New Roman" w:hAnsi="Times New Roman" w:eastAsiaTheme="majorEastAsia"/>
          <w:sz w:val="24"/>
          <w:szCs w:val="24"/>
          <w:lang w:val="en-US" w:eastAsia="zh-CN"/>
        </w:rPr>
        <w:t>报告</w:t>
      </w:r>
      <w:r>
        <w:rPr>
          <w:rStyle w:val="10"/>
          <w:rFonts w:ascii="Times New Roman" w:hAnsi="Times New Roman" w:eastAsiaTheme="majorEastAsia"/>
          <w:sz w:val="24"/>
          <w:szCs w:val="24"/>
          <w:lang w:val="en-US"/>
        </w:rPr>
        <w:t>协调与评审</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_Toc488925181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5</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"_Toc488925182"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五</w:t>
      </w:r>
      <w:r>
        <w:rPr>
          <w:rStyle w:val="10"/>
          <w:rFonts w:ascii="Times New Roman" w:hAnsi="Times New Roman" w:eastAsiaTheme="majorEastAsia"/>
          <w:sz w:val="24"/>
          <w:szCs w:val="24"/>
        </w:rPr>
        <w:t>）</w:t>
      </w:r>
      <w:r>
        <w:rPr>
          <w:rStyle w:val="10"/>
          <w:rFonts w:ascii="Times New Roman" w:hAnsi="Times New Roman" w:eastAsiaTheme="majorEastAsia"/>
          <w:sz w:val="24"/>
          <w:szCs w:val="24"/>
          <w:lang w:val="en-US" w:eastAsia="zh-CN"/>
        </w:rPr>
        <w:t>规划成果</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_Toc488925182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6</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6"/>
        <w:tabs>
          <w:tab w:val="right" w:leader="dot" w:pos="8296"/>
        </w:tabs>
        <w:spacing w:line="360" w:lineRule="auto"/>
        <w:rPr>
          <w:rFonts w:ascii="Times New Roman" w:hAnsi="Times New Roman" w:eastAsiaTheme="majorEastAsia"/>
          <w:sz w:val="24"/>
          <w:szCs w:val="24"/>
        </w:rPr>
      </w:pPr>
      <w:r>
        <w:fldChar w:fldCharType="begin"/>
      </w:r>
      <w:r>
        <w:instrText xml:space="preserve"> HYPERLINK \l "_Toc488925183" </w:instrText>
      </w:r>
      <w:r>
        <w:fldChar w:fldCharType="separate"/>
      </w:r>
      <w:r>
        <w:rPr>
          <w:rStyle w:val="10"/>
          <w:rFonts w:ascii="Times New Roman" w:hAnsi="Times New Roman" w:eastAsiaTheme="majorEastAsia"/>
          <w:b/>
          <w:sz w:val="24"/>
          <w:szCs w:val="24"/>
        </w:rPr>
        <w:t>四、几个具体问题的说明</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_Toc488925183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6</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"_Toc488925184"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一</w:t>
      </w:r>
      <w:r>
        <w:rPr>
          <w:rStyle w:val="10"/>
          <w:rFonts w:ascii="Times New Roman" w:hAnsi="Times New Roman" w:eastAsiaTheme="majorEastAsia"/>
          <w:sz w:val="24"/>
          <w:szCs w:val="24"/>
        </w:rPr>
        <w:t>）养殖水域滩涂</w:t>
      </w:r>
      <w:r>
        <w:rPr>
          <w:rStyle w:val="10"/>
          <w:rFonts w:ascii="Times New Roman" w:hAnsi="Times New Roman" w:eastAsiaTheme="majorEastAsia"/>
          <w:sz w:val="24"/>
          <w:szCs w:val="24"/>
          <w:lang w:val="en-US" w:eastAsia="zh-CN"/>
        </w:rPr>
        <w:t>功能区的</w:t>
      </w:r>
      <w:r>
        <w:rPr>
          <w:rStyle w:val="10"/>
          <w:rFonts w:hint="eastAsia" w:ascii="Times New Roman" w:hAnsi="Times New Roman" w:eastAsiaTheme="majorEastAsia"/>
          <w:sz w:val="24"/>
          <w:szCs w:val="24"/>
          <w:lang w:val="en-US" w:eastAsia="zh-CN"/>
        </w:rPr>
        <w:t>划分方法</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_Toc488925184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6</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"_Toc488925185"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二</w:t>
      </w:r>
      <w:r>
        <w:rPr>
          <w:rStyle w:val="10"/>
          <w:rFonts w:ascii="Times New Roman" w:hAnsi="Times New Roman" w:eastAsiaTheme="majorEastAsia"/>
          <w:sz w:val="24"/>
          <w:szCs w:val="24"/>
        </w:rPr>
        <w:t>）养殖水域滩涂</w:t>
      </w:r>
      <w:r>
        <w:rPr>
          <w:rStyle w:val="10"/>
          <w:rFonts w:ascii="Times New Roman" w:hAnsi="Times New Roman" w:eastAsiaTheme="majorEastAsia"/>
          <w:sz w:val="24"/>
          <w:szCs w:val="24"/>
          <w:lang w:val="en-US" w:eastAsia="zh-CN"/>
        </w:rPr>
        <w:t>功能区的使用用途管制</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_Toc488925185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6</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"_Toc488925186" </w:instrText>
      </w:r>
      <w:r>
        <w:fldChar w:fldCharType="separate"/>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三</w:t>
      </w:r>
      <w:r>
        <w:rPr>
          <w:rStyle w:val="10"/>
          <w:rFonts w:ascii="Times New Roman" w:hAnsi="Times New Roman" w:eastAsiaTheme="majorEastAsia"/>
          <w:sz w:val="24"/>
          <w:szCs w:val="24"/>
        </w:rPr>
        <w:t>）</w:t>
      </w:r>
      <w:r>
        <w:rPr>
          <w:rStyle w:val="10"/>
          <w:rFonts w:ascii="Times New Roman" w:hAnsi="Times New Roman" w:eastAsiaTheme="majorEastAsia"/>
          <w:sz w:val="24"/>
          <w:szCs w:val="24"/>
          <w:lang w:eastAsia="zh-CN"/>
        </w:rPr>
        <w:t>水域滩涂</w:t>
      </w:r>
      <w:r>
        <w:rPr>
          <w:rStyle w:val="10"/>
          <w:rFonts w:ascii="Times New Roman" w:hAnsi="Times New Roman" w:eastAsiaTheme="majorEastAsia"/>
          <w:sz w:val="24"/>
          <w:szCs w:val="24"/>
        </w:rPr>
        <w:t>承载力</w:t>
      </w:r>
      <w:r>
        <w:rPr>
          <w:rStyle w:val="10"/>
          <w:rFonts w:ascii="Times New Roman" w:hAnsi="Times New Roman" w:eastAsiaTheme="majorEastAsia"/>
          <w:sz w:val="24"/>
          <w:szCs w:val="24"/>
          <w:lang w:eastAsia="zh-CN"/>
        </w:rPr>
        <w:t>估算</w:t>
      </w:r>
      <w:r>
        <w:rPr>
          <w:rStyle w:val="10"/>
          <w:rFonts w:ascii="Times New Roman" w:hAnsi="Times New Roman" w:eastAsiaTheme="majorEastAsia"/>
          <w:sz w:val="24"/>
          <w:szCs w:val="24"/>
        </w:rPr>
        <w:t>方法</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_Toc488925186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10</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kern w:val="2"/>
          <w:sz w:val="24"/>
          <w:szCs w:val="24"/>
          <w:lang w:val="en-US" w:eastAsia="zh-CN"/>
        </w:rPr>
      </w:pPr>
      <w:r>
        <w:fldChar w:fldCharType="begin"/>
      </w:r>
      <w:r>
        <w:instrText xml:space="preserve"> HYPERLINK \l "_Toc488925187" </w:instrText>
      </w:r>
      <w:r>
        <w:fldChar w:fldCharType="separate"/>
      </w:r>
      <w:r>
        <w:rPr>
          <w:rStyle w:val="10"/>
          <w:rFonts w:ascii="Times New Roman" w:hAnsi="Times New Roman" w:eastAsiaTheme="majorEastAsia"/>
          <w:sz w:val="24"/>
          <w:szCs w:val="24"/>
        </w:rPr>
        <w:t>（四）登记表的有关说明</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_Toc488925187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15</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p>
    <w:p>
      <w:pPr>
        <w:pStyle w:val="7"/>
        <w:spacing w:line="360" w:lineRule="auto"/>
        <w:rPr>
          <w:rFonts w:ascii="Times New Roman" w:hAnsi="Times New Roman" w:eastAsiaTheme="majorEastAsia"/>
          <w:bCs/>
          <w:sz w:val="24"/>
          <w:szCs w:val="24"/>
        </w:rPr>
      </w:pPr>
      <w:r>
        <w:fldChar w:fldCharType="begin"/>
      </w:r>
      <w:r>
        <w:instrText xml:space="preserve"> HYPERLINK \l "_Toc488925188" </w:instrText>
      </w:r>
      <w:r>
        <w:fldChar w:fldCharType="separate"/>
      </w:r>
      <w:r>
        <w:rPr>
          <w:rStyle w:val="10"/>
          <w:rFonts w:ascii="Times New Roman" w:hAnsi="Times New Roman" w:eastAsiaTheme="majorEastAsia"/>
          <w:sz w:val="24"/>
          <w:szCs w:val="24"/>
        </w:rPr>
        <w:t>（五）与相关规划的衔接情况</w:t>
      </w:r>
      <w:r>
        <w:rPr>
          <w:rFonts w:ascii="Times New Roman" w:hAnsi="Times New Roman" w:eastAsiaTheme="majorEastAsia"/>
          <w:sz w:val="24"/>
          <w:szCs w:val="24"/>
        </w:rPr>
        <w:tab/>
      </w:r>
      <w:r>
        <w:rPr>
          <w:rFonts w:ascii="Times New Roman" w:hAnsi="Times New Roman" w:eastAsiaTheme="majorEastAsia"/>
          <w:sz w:val="24"/>
          <w:szCs w:val="24"/>
        </w:rPr>
        <w:fldChar w:fldCharType="begin"/>
      </w:r>
      <w:r>
        <w:rPr>
          <w:rFonts w:ascii="Times New Roman" w:hAnsi="Times New Roman" w:eastAsiaTheme="majorEastAsia"/>
          <w:sz w:val="24"/>
          <w:szCs w:val="24"/>
        </w:rPr>
        <w:instrText xml:space="preserve"> PAGEREF _Toc488925188 \h </w:instrText>
      </w:r>
      <w:r>
        <w:rPr>
          <w:rFonts w:ascii="Times New Roman" w:hAnsi="Times New Roman" w:eastAsiaTheme="majorEastAsia"/>
          <w:sz w:val="24"/>
          <w:szCs w:val="24"/>
        </w:rPr>
        <w:fldChar w:fldCharType="separate"/>
      </w:r>
      <w:r>
        <w:rPr>
          <w:rFonts w:ascii="Times New Roman" w:hAnsi="Times New Roman" w:eastAsiaTheme="majorEastAsia"/>
          <w:sz w:val="24"/>
          <w:szCs w:val="24"/>
        </w:rPr>
        <w:t>15</w:t>
      </w:r>
      <w:r>
        <w:rPr>
          <w:rFonts w:ascii="Times New Roman" w:hAnsi="Times New Roman" w:eastAsiaTheme="majorEastAsia"/>
          <w:sz w:val="24"/>
          <w:szCs w:val="24"/>
        </w:rPr>
        <w:fldChar w:fldCharType="end"/>
      </w:r>
      <w:r>
        <w:rPr>
          <w:rFonts w:ascii="Times New Roman" w:hAnsi="Times New Roman" w:eastAsiaTheme="majorEastAsia"/>
          <w:sz w:val="24"/>
          <w:szCs w:val="24"/>
        </w:rPr>
        <w:fldChar w:fldCharType="end"/>
      </w:r>
      <w:r>
        <w:rPr>
          <w:rFonts w:ascii="Times New Roman" w:hAnsi="Times New Roman" w:eastAsiaTheme="majorEastAsia"/>
          <w:bCs/>
          <w:sz w:val="24"/>
          <w:szCs w:val="24"/>
        </w:rPr>
        <w:fldChar w:fldCharType="end"/>
      </w:r>
    </w:p>
    <w:p>
      <w:pPr>
        <w:rPr>
          <w:rFonts w:ascii="Times New Roman" w:hAnsi="Times New Roman" w:cs="Times New Roman"/>
          <w:bCs/>
          <w:sz w:val="28"/>
          <w:szCs w:val="28"/>
        </w:rPr>
        <w:sectPr>
          <w:footerReference r:id="rId3" w:type="default"/>
          <w:pgSz w:w="11906" w:h="16838"/>
          <w:pgMar w:top="1440" w:right="1800" w:bottom="1440" w:left="1800" w:header="851" w:footer="992" w:gutter="0"/>
          <w:cols w:space="425" w:num="1"/>
          <w:docGrid w:type="lines" w:linePitch="312" w:charSpace="0"/>
        </w:sectPr>
      </w:pPr>
    </w:p>
    <w:p>
      <w:pPr>
        <w:pStyle w:val="2"/>
        <w:spacing w:before="60" w:after="60" w:line="360" w:lineRule="auto"/>
        <w:rPr>
          <w:rFonts w:ascii="Times New Roman" w:hAnsi="Times New Roman"/>
          <w:sz w:val="30"/>
          <w:szCs w:val="30"/>
        </w:rPr>
      </w:pPr>
      <w:bookmarkStart w:id="0" w:name="_Toc488925168"/>
      <w:r>
        <w:rPr>
          <w:rFonts w:ascii="Times New Roman" w:hAnsi="Times New Roman"/>
          <w:sz w:val="30"/>
          <w:szCs w:val="30"/>
        </w:rPr>
        <w:t>一、总论</w:t>
      </w:r>
      <w:bookmarkEnd w:id="0"/>
    </w:p>
    <w:p>
      <w:pPr>
        <w:pStyle w:val="3"/>
        <w:tabs>
          <w:tab w:val="left" w:pos="3450"/>
        </w:tabs>
        <w:spacing w:before="60" w:after="60"/>
        <w:rPr>
          <w:rFonts w:ascii="Times New Roman" w:hAnsi="Times New Roman" w:eastAsia="仿宋_GB2312"/>
          <w:szCs w:val="28"/>
        </w:rPr>
      </w:pPr>
      <w:bookmarkStart w:id="1" w:name="_Toc488925169"/>
      <w:r>
        <w:rPr>
          <w:rFonts w:ascii="Times New Roman" w:hAnsi="Times New Roman" w:eastAsia="仿宋_GB2312"/>
          <w:szCs w:val="28"/>
        </w:rPr>
        <w:t>（一）规划编制任务</w:t>
      </w:r>
      <w:bookmarkEnd w:id="1"/>
    </w:p>
    <w:p>
      <w:pPr>
        <w:topLinePunct/>
        <w:autoSpaceDE w:val="0"/>
        <w:spacing w:line="360" w:lineRule="auto"/>
        <w:ind w:firstLine="540"/>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海阳市</w:t>
      </w:r>
      <w:r>
        <w:rPr>
          <w:rFonts w:ascii="Times New Roman" w:hAnsi="Times New Roman" w:cs="Times New Roman"/>
          <w:sz w:val="24"/>
          <w:szCs w:val="24"/>
        </w:rPr>
        <w:t>养殖水域滩涂规划（2018-2030年）》（以下简称《规划》）由</w:t>
      </w:r>
      <w:r>
        <w:rPr>
          <w:rFonts w:hint="eastAsia" w:ascii="Times New Roman" w:hAnsi="Times New Roman" w:cs="Times New Roman"/>
          <w:sz w:val="24"/>
          <w:szCs w:val="24"/>
        </w:rPr>
        <w:t>海阳市</w:t>
      </w:r>
      <w:r>
        <w:rPr>
          <w:rFonts w:ascii="Times New Roman" w:hAnsi="Times New Roman" w:cs="Times New Roman"/>
          <w:sz w:val="24"/>
          <w:szCs w:val="24"/>
        </w:rPr>
        <w:t>人民政府组织，</w:t>
      </w:r>
      <w:r>
        <w:rPr>
          <w:rFonts w:hint="eastAsia" w:ascii="Times New Roman" w:hAnsi="Times New Roman" w:cs="Times New Roman"/>
          <w:sz w:val="24"/>
          <w:szCs w:val="24"/>
        </w:rPr>
        <w:t>由海阳市海洋与</w:t>
      </w:r>
      <w:r>
        <w:rPr>
          <w:rFonts w:ascii="Times New Roman" w:hAnsi="Times New Roman" w:cs="Times New Roman"/>
          <w:sz w:val="24"/>
          <w:szCs w:val="24"/>
        </w:rPr>
        <w:t>渔业局具体实施，并委托</w:t>
      </w:r>
      <w:r>
        <w:rPr>
          <w:rFonts w:hint="eastAsia" w:ascii="Times New Roman" w:hAnsi="Times New Roman" w:cs="Times New Roman"/>
          <w:sz w:val="24"/>
          <w:szCs w:val="24"/>
        </w:rPr>
        <w:t>鲁东</w:t>
      </w:r>
      <w:r>
        <w:rPr>
          <w:rFonts w:ascii="Times New Roman" w:hAnsi="Times New Roman" w:cs="Times New Roman"/>
          <w:sz w:val="24"/>
          <w:szCs w:val="24"/>
        </w:rPr>
        <w:t>大学作为技术指导单位承担规划编制工作。</w:t>
      </w:r>
    </w:p>
    <w:p>
      <w:pPr>
        <w:pStyle w:val="3"/>
        <w:tabs>
          <w:tab w:val="left" w:pos="3450"/>
        </w:tabs>
        <w:spacing w:before="60" w:after="60"/>
        <w:rPr>
          <w:rFonts w:ascii="Times New Roman" w:hAnsi="Times New Roman" w:eastAsia="仿宋_GB2312"/>
          <w:szCs w:val="28"/>
        </w:rPr>
      </w:pPr>
      <w:bookmarkStart w:id="2" w:name="_Toc488925170"/>
      <w:r>
        <w:rPr>
          <w:rFonts w:ascii="Times New Roman" w:hAnsi="Times New Roman" w:eastAsia="仿宋_GB2312"/>
          <w:szCs w:val="28"/>
        </w:rPr>
        <w:t>（二）规划编制背景</w:t>
      </w:r>
      <w:bookmarkEnd w:id="2"/>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为贯彻落实《中共中央国务院关于加快生态文明建设的意见》（中发[2015]12号）、《国务院关于促进海洋渔业持续健康发展的若干意见》</w:t>
      </w:r>
      <w:bookmarkStart w:id="3" w:name="OLE_LINK1"/>
      <w:bookmarkStart w:id="4" w:name="OLE_LINK2"/>
      <w:r>
        <w:rPr>
          <w:rFonts w:ascii="Times New Roman" w:hAnsi="Times New Roman" w:cs="Times New Roman"/>
          <w:sz w:val="24"/>
          <w:szCs w:val="24"/>
        </w:rPr>
        <w:t>（国发</w:t>
      </w:r>
      <w:bookmarkStart w:id="5" w:name="OLE_LINK3"/>
      <w:r>
        <w:rPr>
          <w:rFonts w:ascii="Times New Roman" w:hAnsi="Times New Roman" w:cs="Times New Roman"/>
          <w:sz w:val="24"/>
          <w:szCs w:val="24"/>
        </w:rPr>
        <w:t>[2013]11号</w:t>
      </w:r>
      <w:bookmarkEnd w:id="5"/>
      <w:r>
        <w:rPr>
          <w:rFonts w:ascii="Times New Roman" w:hAnsi="Times New Roman" w:cs="Times New Roman"/>
          <w:sz w:val="24"/>
          <w:szCs w:val="24"/>
        </w:rPr>
        <w:t>）</w:t>
      </w:r>
      <w:bookmarkEnd w:id="3"/>
      <w:bookmarkEnd w:id="4"/>
      <w:r>
        <w:rPr>
          <w:rFonts w:ascii="Times New Roman" w:hAnsi="Times New Roman" w:cs="Times New Roman"/>
          <w:sz w:val="24"/>
          <w:szCs w:val="24"/>
        </w:rPr>
        <w:t>和《国务院关于印发水污染防治行动计划的通知》（国发[2015]17号）的有关要求，促进水产养殖业健康持续发展，加快推进水产养殖业转方式调结构，根据《中华人民共和国渔业法》等法律法规的规定，农业部印发了关于《养殖水域滩涂规划编制工作规范》和《养殖水域滩涂规划编制大纲》（农渔发[2016]39号）。</w:t>
      </w:r>
      <w:r>
        <w:rPr>
          <w:rFonts w:hint="eastAsia" w:ascii="Times New Roman" w:hAnsi="Times New Roman" w:cs="Times New Roman"/>
          <w:sz w:val="24"/>
          <w:szCs w:val="24"/>
        </w:rPr>
        <w:t>在此基础上，2</w:t>
      </w:r>
      <w:r>
        <w:rPr>
          <w:rFonts w:ascii="Times New Roman" w:hAnsi="Times New Roman" w:cs="Times New Roman"/>
          <w:sz w:val="24"/>
          <w:szCs w:val="24"/>
        </w:rPr>
        <w:t>018</w:t>
      </w:r>
      <w:r>
        <w:rPr>
          <w:rFonts w:hint="eastAsia" w:ascii="Times New Roman" w:hAnsi="Times New Roman" w:cs="Times New Roman"/>
          <w:sz w:val="24"/>
          <w:szCs w:val="24"/>
        </w:rPr>
        <w:t>年山东省下发了《山东省养殖水域滩涂规划编制技术要求》。烟台</w:t>
      </w:r>
      <w:r>
        <w:rPr>
          <w:rFonts w:ascii="Times New Roman" w:hAnsi="Times New Roman" w:cs="Times New Roman"/>
          <w:sz w:val="24"/>
          <w:szCs w:val="24"/>
        </w:rPr>
        <w:t>市编制发布了《</w:t>
      </w:r>
      <w:r>
        <w:rPr>
          <w:rFonts w:hint="eastAsia" w:ascii="Times New Roman" w:hAnsi="Times New Roman" w:cs="Times New Roman"/>
          <w:sz w:val="24"/>
          <w:szCs w:val="24"/>
        </w:rPr>
        <w:t>烟台</w:t>
      </w:r>
      <w:r>
        <w:rPr>
          <w:rFonts w:ascii="Times New Roman" w:hAnsi="Times New Roman" w:cs="Times New Roman"/>
          <w:sz w:val="24"/>
          <w:szCs w:val="24"/>
        </w:rPr>
        <w:t>市海洋功能区划（2013-2020年）》，科学制定分区分类管控措施，为海洋产业规划、海域使用规划、海洋环境保护规划等涉海规划的编制奠定基础，为优化海洋产业结构和生产力布局提供指导，为实现海域的依法审批和合理使用提供依据。</w:t>
      </w:r>
      <w:r>
        <w:rPr>
          <w:rFonts w:hint="eastAsia" w:ascii="Times New Roman" w:hAnsi="Times New Roman" w:cs="Times New Roman"/>
          <w:sz w:val="24"/>
          <w:szCs w:val="24"/>
        </w:rPr>
        <w:t>2</w:t>
      </w:r>
      <w:r>
        <w:rPr>
          <w:rFonts w:ascii="Times New Roman" w:hAnsi="Times New Roman" w:cs="Times New Roman"/>
          <w:sz w:val="24"/>
          <w:szCs w:val="24"/>
        </w:rPr>
        <w:t>018</w:t>
      </w:r>
      <w:r>
        <w:rPr>
          <w:rFonts w:hint="eastAsia" w:ascii="Times New Roman" w:hAnsi="Times New Roman" w:cs="Times New Roman"/>
          <w:sz w:val="24"/>
          <w:szCs w:val="24"/>
        </w:rPr>
        <w:t>年，烟台</w:t>
      </w:r>
      <w:r>
        <w:rPr>
          <w:rFonts w:ascii="Times New Roman" w:hAnsi="Times New Roman" w:cs="Times New Roman"/>
          <w:sz w:val="24"/>
          <w:szCs w:val="24"/>
        </w:rPr>
        <w:t>市人民政府</w:t>
      </w:r>
      <w:r>
        <w:rPr>
          <w:rFonts w:hint="eastAsia" w:ascii="Times New Roman" w:hAnsi="Times New Roman" w:cs="Times New Roman"/>
          <w:sz w:val="24"/>
          <w:szCs w:val="24"/>
        </w:rPr>
        <w:t>又</w:t>
      </w:r>
      <w:r>
        <w:rPr>
          <w:rFonts w:ascii="Times New Roman" w:hAnsi="Times New Roman" w:cs="Times New Roman"/>
          <w:sz w:val="24"/>
          <w:szCs w:val="24"/>
        </w:rPr>
        <w:t>发布了《关于同意烟台海洋强市建设规划的批复》（烟政字[2018]36号），力争海洋传统产业转型成效明显，海洋新兴产业不断壮大，全市海洋产业核心竞争力进一步增强，打造成为海洋强省建设主引擎；让海洋生态环境美，近岸海域水质明显改善，海洋生态灾害监测预警体系健全完善，形成协调发展的海陆一体化发展模式。</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海阳市海域内礁石岸线居多，具有海珍品养殖及建设临港工业的良好条件，以及拥有连绵几十千米的优质沙滩海岸及清澈蔚蓝的海水等资源环境条件。早在 2007 年，海阳市就把海洋经济作为海阳市四项重点经济工作之一，出台了《海洋经济发展意见》；2008 年编制出《海阳市一片两带经济发展规划》，确立了“南部沿海蓝色经济带”的战略设想，此规划在山东半岛蓝色经济区上升为国家战略之后，更是得到进一步的重视和落实。根据《</w:t>
      </w:r>
      <w:r>
        <w:rPr>
          <w:rFonts w:hint="eastAsia" w:ascii="Times New Roman" w:hAnsi="Times New Roman" w:cs="Times New Roman"/>
          <w:sz w:val="24"/>
          <w:szCs w:val="24"/>
        </w:rPr>
        <w:t>山东省</w:t>
      </w:r>
      <w:r>
        <w:rPr>
          <w:rFonts w:ascii="Times New Roman" w:hAnsi="Times New Roman" w:cs="Times New Roman"/>
          <w:sz w:val="24"/>
          <w:szCs w:val="24"/>
        </w:rPr>
        <w:t>海洋功能区划（2011-2020年）》确定海阳市海域的主要功能为海洋保护、旅游休闲娱乐、港口航运用海。</w:t>
      </w:r>
      <w:r>
        <w:rPr>
          <w:rFonts w:hint="eastAsia" w:ascii="Times New Roman" w:hAnsi="Times New Roman" w:cs="Times New Roman"/>
          <w:sz w:val="24"/>
          <w:szCs w:val="24"/>
        </w:rPr>
        <w:t>近年来，</w:t>
      </w:r>
      <w:r>
        <w:rPr>
          <w:rFonts w:ascii="Times New Roman" w:hAnsi="Times New Roman" w:eastAsia="宋体" w:cs="Times New Roman"/>
          <w:sz w:val="24"/>
          <w:szCs w:val="24"/>
        </w:rPr>
        <w:t>随着社会经济发展，用海需求增大，岸线和海域开发程度增高，部分海洋生态环境遭到破坏，也面临着一些突出问题。</w:t>
      </w:r>
      <w:r>
        <w:rPr>
          <w:rFonts w:hint="eastAsia" w:ascii="Times New Roman" w:hAnsi="Times New Roman" w:eastAsia="宋体" w:cs="Times New Roman"/>
          <w:sz w:val="24"/>
          <w:szCs w:val="24"/>
        </w:rPr>
        <w:t>在此背景下，</w:t>
      </w:r>
      <w:r>
        <w:rPr>
          <w:rFonts w:ascii="Times New Roman" w:hAnsi="Times New Roman" w:cs="Times New Roman"/>
          <w:sz w:val="24"/>
          <w:szCs w:val="24"/>
        </w:rPr>
        <w:t>海阳市</w:t>
      </w:r>
      <w:r>
        <w:rPr>
          <w:rFonts w:hint="eastAsia" w:ascii="Times New Roman" w:hAnsi="Times New Roman" w:cs="Times New Roman"/>
          <w:sz w:val="24"/>
          <w:szCs w:val="24"/>
        </w:rPr>
        <w:t>结合本市</w:t>
      </w:r>
      <w:r>
        <w:rPr>
          <w:rFonts w:ascii="Times New Roman" w:hAnsi="Times New Roman" w:cs="Times New Roman"/>
          <w:sz w:val="24"/>
          <w:szCs w:val="24"/>
        </w:rPr>
        <w:t>水产养殖业发展布局</w:t>
      </w:r>
      <w:r>
        <w:rPr>
          <w:rFonts w:hint="eastAsia" w:ascii="Times New Roman" w:hAnsi="Times New Roman" w:cs="Times New Roman"/>
          <w:sz w:val="24"/>
          <w:szCs w:val="24"/>
        </w:rPr>
        <w:t>和</w:t>
      </w:r>
      <w:r>
        <w:rPr>
          <w:rFonts w:ascii="Times New Roman" w:hAnsi="Times New Roman" w:cs="Times New Roman"/>
          <w:sz w:val="24"/>
          <w:szCs w:val="24"/>
        </w:rPr>
        <w:t>产业转型升级</w:t>
      </w:r>
      <w:r>
        <w:rPr>
          <w:rFonts w:hint="eastAsia" w:ascii="Times New Roman" w:hAnsi="Times New Roman" w:cs="Times New Roman"/>
          <w:sz w:val="24"/>
          <w:szCs w:val="24"/>
        </w:rPr>
        <w:t>需求进行养殖水域滩涂规划</w:t>
      </w:r>
      <w:r>
        <w:rPr>
          <w:rFonts w:ascii="Times New Roman" w:hAnsi="Times New Roman" w:cs="Times New Roman"/>
          <w:sz w:val="24"/>
          <w:szCs w:val="24"/>
        </w:rPr>
        <w:t>，设定发展底线，稳定基本养殖面积，保障渔民合法权益，确保有效供给安全、环境生态安全和产品质量安全，</w:t>
      </w:r>
      <w:r>
        <w:rPr>
          <w:rFonts w:hint="eastAsia" w:ascii="Times New Roman" w:hAnsi="Times New Roman" w:cs="Times New Roman"/>
          <w:sz w:val="24"/>
          <w:szCs w:val="24"/>
        </w:rPr>
        <w:t>以</w:t>
      </w:r>
      <w:r>
        <w:rPr>
          <w:rFonts w:ascii="Times New Roman" w:hAnsi="Times New Roman" w:cs="Times New Roman"/>
          <w:sz w:val="24"/>
          <w:szCs w:val="24"/>
        </w:rPr>
        <w:t>实现提质增效、减量增收、绿色发展、富裕渔民的发展目标。</w:t>
      </w:r>
    </w:p>
    <w:p>
      <w:pPr>
        <w:pStyle w:val="3"/>
        <w:tabs>
          <w:tab w:val="left" w:pos="3450"/>
        </w:tabs>
        <w:spacing w:before="60" w:after="60"/>
        <w:rPr>
          <w:rFonts w:ascii="Times New Roman" w:hAnsi="Times New Roman" w:eastAsia="仿宋_GB2312"/>
          <w:szCs w:val="28"/>
        </w:rPr>
      </w:pPr>
      <w:bookmarkStart w:id="6" w:name="_Toc488925171"/>
      <w:r>
        <w:rPr>
          <w:rFonts w:ascii="Times New Roman" w:hAnsi="Times New Roman" w:eastAsia="仿宋_GB2312"/>
          <w:szCs w:val="28"/>
        </w:rPr>
        <w:t>（</w:t>
      </w:r>
      <w:r>
        <w:rPr>
          <w:rFonts w:ascii="Times New Roman" w:hAnsi="Times New Roman" w:eastAsia="仿宋_GB2312"/>
          <w:szCs w:val="28"/>
          <w:lang w:eastAsia="zh-CN"/>
        </w:rPr>
        <w:t>三</w:t>
      </w:r>
      <w:r>
        <w:rPr>
          <w:rFonts w:ascii="Times New Roman" w:hAnsi="Times New Roman" w:eastAsia="仿宋_GB2312"/>
          <w:szCs w:val="28"/>
        </w:rPr>
        <w:t>）规划编制指导思想</w:t>
      </w:r>
      <w:bookmarkEnd w:id="6"/>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依据国家相关法律法规和海洋开发保护的方针政策，结合</w:t>
      </w:r>
      <w:r>
        <w:rPr>
          <w:rFonts w:hint="eastAsia" w:ascii="Times New Roman" w:hAnsi="Times New Roman" w:cs="Times New Roman"/>
          <w:sz w:val="24"/>
          <w:szCs w:val="24"/>
        </w:rPr>
        <w:t>海阳市</w:t>
      </w:r>
      <w:r>
        <w:rPr>
          <w:rFonts w:ascii="Times New Roman" w:hAnsi="Times New Roman" w:cs="Times New Roman"/>
          <w:sz w:val="24"/>
          <w:szCs w:val="24"/>
        </w:rPr>
        <w:t>海域的实际情况，在《</w:t>
      </w:r>
      <w:r>
        <w:rPr>
          <w:rFonts w:hint="eastAsia" w:ascii="Times New Roman" w:hAnsi="Times New Roman" w:cs="Times New Roman"/>
          <w:sz w:val="24"/>
          <w:szCs w:val="24"/>
        </w:rPr>
        <w:t>山东省</w:t>
      </w:r>
      <w:r>
        <w:rPr>
          <w:rFonts w:ascii="Times New Roman" w:hAnsi="Times New Roman" w:cs="Times New Roman"/>
          <w:sz w:val="24"/>
          <w:szCs w:val="24"/>
        </w:rPr>
        <w:t>海洋功能区划（2011-2020年）》</w:t>
      </w:r>
      <w:r>
        <w:rPr>
          <w:rFonts w:hint="eastAsia" w:ascii="Times New Roman" w:hAnsi="Times New Roman" w:cs="Times New Roman"/>
          <w:sz w:val="24"/>
          <w:szCs w:val="24"/>
        </w:rPr>
        <w:t>、</w:t>
      </w:r>
      <w:r>
        <w:rPr>
          <w:rFonts w:ascii="Times New Roman" w:hAnsi="Times New Roman" w:cs="Times New Roman"/>
          <w:sz w:val="24"/>
          <w:szCs w:val="24"/>
        </w:rPr>
        <w:t>《</w:t>
      </w:r>
      <w:r>
        <w:rPr>
          <w:rFonts w:hint="eastAsia" w:ascii="Times New Roman" w:hAnsi="Times New Roman" w:cs="Times New Roman"/>
          <w:sz w:val="24"/>
          <w:szCs w:val="24"/>
        </w:rPr>
        <w:t>烟台</w:t>
      </w:r>
      <w:r>
        <w:rPr>
          <w:rFonts w:ascii="Times New Roman" w:hAnsi="Times New Roman" w:cs="Times New Roman"/>
          <w:sz w:val="24"/>
          <w:szCs w:val="24"/>
        </w:rPr>
        <w:t>市海洋功能区划（2013-2020年）》</w:t>
      </w:r>
      <w:r>
        <w:rPr>
          <w:rFonts w:hint="eastAsia" w:ascii="Times New Roman" w:hAnsi="Times New Roman" w:cs="Times New Roman"/>
          <w:sz w:val="24"/>
          <w:szCs w:val="24"/>
        </w:rPr>
        <w:t>、《烟台</w:t>
      </w:r>
      <w:r>
        <w:rPr>
          <w:rFonts w:ascii="Times New Roman" w:hAnsi="Times New Roman" w:cs="Times New Roman"/>
          <w:sz w:val="24"/>
          <w:szCs w:val="24"/>
        </w:rPr>
        <w:t>市</w:t>
      </w:r>
      <w:r>
        <w:rPr>
          <w:rFonts w:hint="eastAsia" w:ascii="Times New Roman" w:hAnsi="Times New Roman" w:cs="Times New Roman"/>
          <w:sz w:val="24"/>
          <w:szCs w:val="24"/>
        </w:rPr>
        <w:t>区海域使用规划</w:t>
      </w:r>
      <w:r>
        <w:rPr>
          <w:rFonts w:ascii="Times New Roman" w:hAnsi="Times New Roman" w:cs="Times New Roman"/>
          <w:sz w:val="24"/>
          <w:szCs w:val="24"/>
        </w:rPr>
        <w:t>（2013-2020年）</w:t>
      </w:r>
      <w:r>
        <w:rPr>
          <w:rFonts w:hint="eastAsia" w:ascii="Times New Roman" w:hAnsi="Times New Roman" w:cs="Times New Roman"/>
          <w:sz w:val="24"/>
          <w:szCs w:val="24"/>
        </w:rPr>
        <w:t>》</w:t>
      </w:r>
      <w:r>
        <w:rPr>
          <w:rFonts w:ascii="Times New Roman" w:hAnsi="Times New Roman" w:cs="Times New Roman"/>
          <w:sz w:val="24"/>
          <w:szCs w:val="24"/>
        </w:rPr>
        <w:t>的区划框架内，编制《</w:t>
      </w:r>
      <w:r>
        <w:rPr>
          <w:rFonts w:hint="eastAsia" w:ascii="Times New Roman" w:hAnsi="Times New Roman" w:cs="Times New Roman"/>
          <w:sz w:val="24"/>
          <w:szCs w:val="24"/>
        </w:rPr>
        <w:t>海阳市</w:t>
      </w:r>
      <w:r>
        <w:rPr>
          <w:rFonts w:ascii="Times New Roman" w:hAnsi="Times New Roman" w:cs="Times New Roman"/>
          <w:sz w:val="24"/>
          <w:szCs w:val="24"/>
        </w:rPr>
        <w:t>养殖水域滩涂规划（2018-2030年）》，作为</w:t>
      </w:r>
      <w:r>
        <w:rPr>
          <w:rFonts w:hint="eastAsia" w:ascii="Times New Roman" w:hAnsi="Times New Roman" w:cs="Times New Roman"/>
          <w:sz w:val="24"/>
          <w:szCs w:val="24"/>
        </w:rPr>
        <w:t>海阳市</w:t>
      </w:r>
      <w:r>
        <w:rPr>
          <w:rFonts w:ascii="Times New Roman" w:hAnsi="Times New Roman" w:cs="Times New Roman"/>
          <w:sz w:val="24"/>
          <w:szCs w:val="24"/>
        </w:rPr>
        <w:t>水产养殖业发展的布局依据、推进产业转型升级的重要抓手和渔业管理的基本制度，按要求划定禁止养殖区、限制养殖区和养殖区，合理布局水产养殖生产，保护水域滩涂生态环境。</w:t>
      </w:r>
    </w:p>
    <w:p>
      <w:pPr>
        <w:pStyle w:val="3"/>
        <w:tabs>
          <w:tab w:val="left" w:pos="3450"/>
        </w:tabs>
        <w:spacing w:before="60" w:after="60"/>
        <w:rPr>
          <w:rFonts w:ascii="Times New Roman" w:hAnsi="Times New Roman" w:eastAsia="仿宋_GB2312"/>
          <w:szCs w:val="28"/>
        </w:rPr>
      </w:pPr>
      <w:bookmarkStart w:id="7" w:name="_Toc488925172"/>
      <w:r>
        <w:rPr>
          <w:rFonts w:ascii="Times New Roman" w:hAnsi="Times New Roman" w:eastAsia="仿宋_GB2312"/>
          <w:szCs w:val="28"/>
        </w:rPr>
        <w:t>（</w:t>
      </w:r>
      <w:r>
        <w:rPr>
          <w:rFonts w:ascii="Times New Roman" w:hAnsi="Times New Roman" w:eastAsia="仿宋_GB2312"/>
          <w:szCs w:val="28"/>
          <w:lang w:eastAsia="zh-CN"/>
        </w:rPr>
        <w:t>四</w:t>
      </w:r>
      <w:r>
        <w:rPr>
          <w:rFonts w:ascii="Times New Roman" w:hAnsi="Times New Roman" w:eastAsia="仿宋_GB2312"/>
          <w:szCs w:val="28"/>
        </w:rPr>
        <w:t>）规划编制思路</w:t>
      </w:r>
      <w:bookmarkEnd w:id="7"/>
    </w:p>
    <w:p>
      <w:pPr>
        <w:spacing w:line="360" w:lineRule="auto"/>
        <w:ind w:firstLine="470" w:firstLineChars="196"/>
        <w:rPr>
          <w:rFonts w:ascii="Times New Roman" w:hAnsi="Times New Roman" w:cs="Times New Roman"/>
          <w:sz w:val="24"/>
          <w:szCs w:val="24"/>
        </w:rPr>
      </w:pPr>
      <w:r>
        <w:rPr>
          <w:rFonts w:ascii="Times New Roman" w:hAnsi="Times New Roman" w:cs="Times New Roman"/>
          <w:sz w:val="24"/>
          <w:szCs w:val="24"/>
        </w:rPr>
        <w:t>根据</w:t>
      </w:r>
      <w:r>
        <w:rPr>
          <w:rFonts w:hint="eastAsia" w:ascii="Times New Roman" w:hAnsi="Times New Roman" w:cs="Times New Roman"/>
          <w:sz w:val="24"/>
          <w:szCs w:val="24"/>
        </w:rPr>
        <w:t>海阳市</w:t>
      </w:r>
      <w:r>
        <w:rPr>
          <w:rFonts w:ascii="Times New Roman" w:hAnsi="Times New Roman" w:cs="Times New Roman"/>
          <w:sz w:val="24"/>
          <w:szCs w:val="24"/>
        </w:rPr>
        <w:t>水域滩涂资源、水文气候条件、水生生物资源、水域环境状况，进行水域滩涂承载力分析，形成评价结论。根据水域滩涂承载力评价和水产养殖产业发展预测结论，形成养殖水域滩涂开发总体思路。</w:t>
      </w:r>
    </w:p>
    <w:p>
      <w:pPr>
        <w:spacing w:line="360" w:lineRule="auto"/>
        <w:ind w:firstLine="549"/>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w:t>
      </w:r>
      <w:r>
        <w:rPr>
          <w:rFonts w:ascii="Times New Roman" w:hAnsi="Times New Roman" w:cs="Times New Roman"/>
          <w:sz w:val="24"/>
          <w:szCs w:val="24"/>
        </w:rPr>
        <w:t>与《</w:t>
      </w:r>
      <w:r>
        <w:rPr>
          <w:rFonts w:hint="eastAsia" w:ascii="Times New Roman" w:hAnsi="Times New Roman" w:cs="Times New Roman"/>
          <w:sz w:val="24"/>
          <w:szCs w:val="24"/>
        </w:rPr>
        <w:t>山东省</w:t>
      </w:r>
      <w:r>
        <w:rPr>
          <w:rFonts w:ascii="Times New Roman" w:hAnsi="Times New Roman" w:cs="Times New Roman"/>
          <w:sz w:val="24"/>
          <w:szCs w:val="24"/>
        </w:rPr>
        <w:t>海洋功能区划（2011-2020年）》</w:t>
      </w:r>
      <w:r>
        <w:rPr>
          <w:rFonts w:hint="eastAsia" w:ascii="Times New Roman" w:hAnsi="Times New Roman" w:cs="Times New Roman"/>
          <w:sz w:val="24"/>
          <w:szCs w:val="24"/>
        </w:rPr>
        <w:t>、</w:t>
      </w:r>
      <w:r>
        <w:rPr>
          <w:rFonts w:ascii="Times New Roman" w:hAnsi="Times New Roman" w:cs="Times New Roman"/>
          <w:sz w:val="24"/>
          <w:szCs w:val="24"/>
        </w:rPr>
        <w:t>《</w:t>
      </w:r>
      <w:r>
        <w:rPr>
          <w:rFonts w:hint="eastAsia" w:ascii="Times New Roman" w:hAnsi="Times New Roman" w:cs="Times New Roman"/>
          <w:sz w:val="24"/>
          <w:szCs w:val="24"/>
        </w:rPr>
        <w:t>烟台</w:t>
      </w:r>
      <w:r>
        <w:rPr>
          <w:rFonts w:ascii="Times New Roman" w:hAnsi="Times New Roman" w:cs="Times New Roman"/>
          <w:sz w:val="24"/>
          <w:szCs w:val="24"/>
        </w:rPr>
        <w:t>市海洋功能区划（2013-2020年）》</w:t>
      </w:r>
      <w:r>
        <w:rPr>
          <w:rFonts w:hint="eastAsia" w:ascii="Times New Roman" w:hAnsi="Times New Roman" w:cs="Times New Roman"/>
          <w:sz w:val="24"/>
          <w:szCs w:val="24"/>
        </w:rPr>
        <w:t>、《海阳市海域使用规划</w:t>
      </w:r>
      <w:r>
        <w:rPr>
          <w:rFonts w:ascii="Times New Roman" w:hAnsi="Times New Roman" w:cs="Times New Roman"/>
          <w:sz w:val="24"/>
          <w:szCs w:val="24"/>
        </w:rPr>
        <w:t>（2013-2020年）</w:t>
      </w:r>
      <w:r>
        <w:rPr>
          <w:rFonts w:hint="eastAsia" w:ascii="Times New Roman" w:hAnsi="Times New Roman" w:cs="Times New Roman"/>
          <w:sz w:val="24"/>
          <w:szCs w:val="24"/>
        </w:rPr>
        <w:t>》</w:t>
      </w:r>
      <w:r>
        <w:rPr>
          <w:rFonts w:ascii="Times New Roman" w:hAnsi="Times New Roman" w:cs="Times New Roman"/>
          <w:sz w:val="24"/>
          <w:szCs w:val="24"/>
        </w:rPr>
        <w:t>相衔接，在国家和地方法律法规、方针政策的框架内，依法依规进行规划。</w:t>
      </w:r>
    </w:p>
    <w:p>
      <w:pPr>
        <w:spacing w:line="360" w:lineRule="auto"/>
        <w:ind w:firstLine="549"/>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w:t>
      </w:r>
      <w:r>
        <w:rPr>
          <w:rFonts w:ascii="Times New Roman" w:hAnsi="Times New Roman" w:cs="Times New Roman"/>
          <w:sz w:val="24"/>
          <w:szCs w:val="24"/>
        </w:rPr>
        <w:t>近海维持生计渔业，拓展外海养殖规模产业，养殖区总体外推外扩，总体扩展海水养殖规模。</w:t>
      </w:r>
    </w:p>
    <w:p>
      <w:pPr>
        <w:spacing w:line="360" w:lineRule="auto"/>
        <w:ind w:firstLine="549"/>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w:t>
      </w:r>
      <w:r>
        <w:rPr>
          <w:rFonts w:ascii="Times New Roman" w:hAnsi="Times New Roman" w:cs="Times New Roman"/>
          <w:sz w:val="24"/>
          <w:szCs w:val="24"/>
        </w:rPr>
        <w:t>在</w:t>
      </w:r>
      <w:r>
        <w:rPr>
          <w:rFonts w:hint="eastAsia" w:ascii="Times New Roman" w:hAnsi="Times New Roman" w:cs="Times New Roman"/>
          <w:sz w:val="24"/>
          <w:szCs w:val="24"/>
        </w:rPr>
        <w:t>养殖</w:t>
      </w:r>
      <w:r>
        <w:rPr>
          <w:rFonts w:ascii="Times New Roman" w:hAnsi="Times New Roman" w:cs="Times New Roman"/>
          <w:sz w:val="24"/>
          <w:szCs w:val="24"/>
        </w:rPr>
        <w:t>承载力评价的基础上，推行生态疏养，实现提质增效、减量增收、绿色发展、富裕渔民的发展目标。</w:t>
      </w:r>
    </w:p>
    <w:p>
      <w:pPr>
        <w:spacing w:line="360" w:lineRule="auto"/>
        <w:ind w:firstLine="549"/>
        <w:rPr>
          <w:rFonts w:ascii="Times New Roman" w:hAnsi="Times New Roman" w:cs="Times New Roman"/>
          <w:sz w:val="24"/>
          <w:szCs w:val="24"/>
        </w:rPr>
      </w:pPr>
      <w:r>
        <w:rPr>
          <w:rFonts w:ascii="Times New Roman" w:hAnsi="Times New Roman" w:cs="Times New Roman"/>
          <w:sz w:val="24"/>
          <w:szCs w:val="24"/>
        </w:rPr>
        <w:t>4</w:t>
      </w:r>
      <w:r>
        <w:rPr>
          <w:rFonts w:hint="eastAsia" w:ascii="Times New Roman" w:hAnsi="Times New Roman" w:cs="Times New Roman"/>
          <w:sz w:val="24"/>
          <w:szCs w:val="24"/>
        </w:rPr>
        <w:t>、</w:t>
      </w:r>
      <w:r>
        <w:rPr>
          <w:rFonts w:ascii="Times New Roman" w:hAnsi="Times New Roman" w:cs="Times New Roman"/>
          <w:sz w:val="24"/>
          <w:szCs w:val="24"/>
        </w:rPr>
        <w:t>深入调查研究，广泛征求有关部门和专家的意见，结合</w:t>
      </w:r>
      <w:r>
        <w:rPr>
          <w:rFonts w:hint="eastAsia" w:ascii="Times New Roman" w:hAnsi="Times New Roman" w:cs="Times New Roman"/>
          <w:sz w:val="24"/>
          <w:szCs w:val="24"/>
        </w:rPr>
        <w:t>海阳市</w:t>
      </w:r>
      <w:r>
        <w:rPr>
          <w:rFonts w:ascii="Times New Roman" w:hAnsi="Times New Roman" w:cs="Times New Roman"/>
          <w:sz w:val="24"/>
          <w:szCs w:val="24"/>
        </w:rPr>
        <w:t>养殖水域滩涂使用现状和发展需求编制。</w:t>
      </w:r>
    </w:p>
    <w:p>
      <w:pPr>
        <w:pStyle w:val="3"/>
        <w:tabs>
          <w:tab w:val="left" w:pos="3450"/>
        </w:tabs>
        <w:spacing w:before="60" w:after="60"/>
        <w:rPr>
          <w:rFonts w:ascii="Times New Roman" w:hAnsi="Times New Roman" w:eastAsia="仿宋_GB2312"/>
          <w:szCs w:val="28"/>
        </w:rPr>
      </w:pPr>
      <w:bookmarkStart w:id="8" w:name="_Toc488925173"/>
      <w:r>
        <w:rPr>
          <w:rFonts w:ascii="Times New Roman" w:hAnsi="Times New Roman" w:eastAsia="仿宋_GB2312"/>
          <w:szCs w:val="28"/>
        </w:rPr>
        <w:t>（</w:t>
      </w:r>
      <w:r>
        <w:rPr>
          <w:rFonts w:ascii="Times New Roman" w:hAnsi="Times New Roman" w:eastAsia="仿宋_GB2312"/>
          <w:szCs w:val="28"/>
          <w:lang w:eastAsia="zh-CN"/>
        </w:rPr>
        <w:t>五</w:t>
      </w:r>
      <w:r>
        <w:rPr>
          <w:rFonts w:ascii="Times New Roman" w:hAnsi="Times New Roman" w:eastAsia="仿宋_GB2312"/>
          <w:szCs w:val="28"/>
        </w:rPr>
        <w:t>）规划重点</w:t>
      </w:r>
      <w:bookmarkEnd w:id="8"/>
    </w:p>
    <w:p>
      <w:pPr>
        <w:topLinePunct/>
        <w:autoSpaceDE w:val="0"/>
        <w:spacing w:line="360" w:lineRule="auto"/>
        <w:ind w:firstLine="540"/>
        <w:rPr>
          <w:rFonts w:ascii="Times New Roman" w:hAnsi="Times New Roman" w:cs="Times New Roman"/>
          <w:sz w:val="24"/>
          <w:szCs w:val="24"/>
        </w:rPr>
      </w:pPr>
      <w:r>
        <w:rPr>
          <w:rFonts w:ascii="Times New Roman" w:hAnsi="Times New Roman" w:cs="Times New Roman"/>
          <w:sz w:val="24"/>
          <w:szCs w:val="24"/>
        </w:rPr>
        <w:t>按照</w:t>
      </w:r>
      <w:r>
        <w:rPr>
          <w:rFonts w:hint="eastAsia" w:ascii="Times New Roman" w:hAnsi="Times New Roman" w:cs="Times New Roman"/>
          <w:sz w:val="24"/>
          <w:szCs w:val="24"/>
        </w:rPr>
        <w:t>相关文件政策</w:t>
      </w:r>
      <w:r>
        <w:rPr>
          <w:rFonts w:ascii="Times New Roman" w:hAnsi="Times New Roman" w:cs="Times New Roman"/>
          <w:sz w:val="24"/>
          <w:szCs w:val="24"/>
        </w:rPr>
        <w:t>的意见精神，</w:t>
      </w:r>
      <w:r>
        <w:rPr>
          <w:rFonts w:hint="eastAsia" w:ascii="Times New Roman" w:hAnsi="Times New Roman" w:cs="Times New Roman"/>
          <w:sz w:val="24"/>
          <w:szCs w:val="24"/>
        </w:rPr>
        <w:t>此次</w:t>
      </w:r>
      <w:r>
        <w:rPr>
          <w:rFonts w:ascii="Times New Roman" w:hAnsi="Times New Roman" w:cs="Times New Roman"/>
          <w:sz w:val="24"/>
          <w:szCs w:val="24"/>
        </w:rPr>
        <w:t>养殖水域滩涂规划重点做到科学划定养殖区、限养区和禁养区，稳定基本养殖水域，严格控制限养区规模，将法律法规规定禁止养殖、水域环境受到污染不适宜养殖以及岸线向外一定距离内的海域划为禁养区，压缩近海养殖规模，拓展外海养殖空间。科学布局海水养殖，按照养殖容量合理确定养殖品种、密度和面积，统筹规划陆地配套设施、使用岸线等，实现养殖与城市建设和景观的协调统一。支持推广生态养殖，大力发展资源节约型、环境友好型、生态保育型养殖模式，打造立体集约、多营养级、综合性的藻、贝（鱼）、参（鲍）海洋牧场设施养殖生态</w:t>
      </w:r>
      <w:r>
        <w:rPr>
          <w:rFonts w:hint="eastAsia" w:ascii="Times New Roman" w:hAnsi="Times New Roman" w:cs="Times New Roman"/>
          <w:sz w:val="24"/>
          <w:szCs w:val="24"/>
        </w:rPr>
        <w:t>方式</w:t>
      </w:r>
      <w:r>
        <w:rPr>
          <w:rFonts w:ascii="Times New Roman" w:hAnsi="Times New Roman" w:cs="Times New Roman"/>
          <w:sz w:val="24"/>
          <w:szCs w:val="24"/>
        </w:rPr>
        <w:t>，上层实行贝藻兼养，中层发展基于生态渔礁的鱼虾混养</w:t>
      </w:r>
      <w:r>
        <w:rPr>
          <w:rFonts w:hint="eastAsia" w:ascii="Times New Roman" w:hAnsi="Times New Roman" w:cs="Times New Roman"/>
          <w:sz w:val="24"/>
          <w:szCs w:val="24"/>
        </w:rPr>
        <w:t>，</w:t>
      </w:r>
      <w:r>
        <w:rPr>
          <w:rFonts w:ascii="Times New Roman" w:hAnsi="Times New Roman" w:cs="Times New Roman"/>
          <w:sz w:val="24"/>
          <w:szCs w:val="24"/>
        </w:rPr>
        <w:t>底层发展基于海底藻场的底播增殖。</w:t>
      </w:r>
    </w:p>
    <w:p>
      <w:pPr>
        <w:pStyle w:val="3"/>
        <w:tabs>
          <w:tab w:val="left" w:pos="3450"/>
        </w:tabs>
        <w:spacing w:before="60" w:after="60"/>
        <w:rPr>
          <w:rFonts w:ascii="Times New Roman" w:hAnsi="Times New Roman" w:eastAsia="仿宋_GB2312"/>
          <w:szCs w:val="28"/>
          <w:lang w:eastAsia="zh-CN"/>
        </w:rPr>
      </w:pPr>
      <w:bookmarkStart w:id="9" w:name="_Toc488925174"/>
      <w:r>
        <w:rPr>
          <w:rFonts w:ascii="Times New Roman" w:hAnsi="Times New Roman" w:eastAsia="仿宋_GB2312"/>
          <w:szCs w:val="28"/>
        </w:rPr>
        <w:t>（六）规划</w:t>
      </w:r>
      <w:r>
        <w:rPr>
          <w:rFonts w:ascii="Times New Roman" w:hAnsi="Times New Roman" w:eastAsia="仿宋_GB2312"/>
          <w:szCs w:val="28"/>
          <w:lang w:eastAsia="zh-CN"/>
        </w:rPr>
        <w:t>原则</w:t>
      </w:r>
      <w:bookmarkEnd w:id="9"/>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根据国家相关法律法规，结合</w:t>
      </w:r>
      <w:r>
        <w:rPr>
          <w:rFonts w:hint="eastAsia" w:ascii="Times New Roman" w:hAnsi="Times New Roman" w:cs="Times New Roman"/>
          <w:sz w:val="24"/>
          <w:szCs w:val="24"/>
        </w:rPr>
        <w:t>海阳市</w:t>
      </w:r>
      <w:r>
        <w:rPr>
          <w:rFonts w:ascii="Times New Roman" w:hAnsi="Times New Roman" w:cs="Times New Roman"/>
          <w:sz w:val="24"/>
          <w:szCs w:val="24"/>
        </w:rPr>
        <w:t>水域滩涂自然状况和水产养殖业的实际情况，本次规划遵循以下原则：</w:t>
      </w:r>
    </w:p>
    <w:p>
      <w:pPr>
        <w:spacing w:line="360" w:lineRule="auto"/>
        <w:ind w:firstLine="482" w:firstLineChars="200"/>
        <w:rPr>
          <w:rFonts w:ascii="Times New Roman" w:hAnsi="Times New Roman" w:cs="Times New Roman"/>
          <w:sz w:val="24"/>
          <w:szCs w:val="24"/>
        </w:rPr>
      </w:pPr>
      <w:r>
        <w:rPr>
          <w:rFonts w:ascii="Times New Roman" w:hAnsi="Times New Roman" w:cs="Times New Roman"/>
          <w:b/>
          <w:sz w:val="24"/>
          <w:szCs w:val="24"/>
        </w:rPr>
        <w:t>——坚持科学规划、因地制宜的原则。</w:t>
      </w:r>
      <w:r>
        <w:rPr>
          <w:rFonts w:ascii="Times New Roman" w:hAnsi="Times New Roman" w:cs="Times New Roman"/>
          <w:sz w:val="24"/>
          <w:szCs w:val="24"/>
        </w:rPr>
        <w:t>根据水域滩涂承载力评价结果和水产养殖业发展需求，形成本区域养殖水域开发利用和保护的总体思路和保护的总体思路，根据规划编制工作规范和大纲的具体要求，合理布局水产养殖生产，制定</w:t>
      </w:r>
      <w:r>
        <w:rPr>
          <w:rFonts w:hint="eastAsia" w:ascii="Times New Roman" w:hAnsi="Times New Roman" w:cs="Times New Roman"/>
          <w:sz w:val="24"/>
          <w:szCs w:val="24"/>
        </w:rPr>
        <w:t>海阳市</w:t>
      </w:r>
      <w:r>
        <w:rPr>
          <w:rFonts w:ascii="Times New Roman" w:hAnsi="Times New Roman" w:cs="Times New Roman"/>
          <w:sz w:val="24"/>
          <w:szCs w:val="24"/>
        </w:rPr>
        <w:t>养殖水域滩涂使用管理的具体措施，科学编制规划。</w:t>
      </w:r>
    </w:p>
    <w:p>
      <w:pPr>
        <w:spacing w:line="360" w:lineRule="auto"/>
        <w:ind w:firstLine="482" w:firstLineChars="200"/>
        <w:rPr>
          <w:rFonts w:ascii="Times New Roman" w:hAnsi="Times New Roman" w:cs="Times New Roman"/>
          <w:sz w:val="24"/>
          <w:szCs w:val="24"/>
        </w:rPr>
      </w:pPr>
      <w:r>
        <w:rPr>
          <w:rFonts w:ascii="Times New Roman" w:hAnsi="Times New Roman" w:cs="Times New Roman"/>
          <w:b/>
          <w:sz w:val="24"/>
          <w:szCs w:val="24"/>
        </w:rPr>
        <w:t>——坚持生态优先、底线约束的原则。</w:t>
      </w:r>
      <w:r>
        <w:rPr>
          <w:rFonts w:ascii="Times New Roman" w:hAnsi="Times New Roman" w:cs="Times New Roman"/>
          <w:sz w:val="24"/>
          <w:szCs w:val="24"/>
        </w:rPr>
        <w:t>坚持走生产发展、生活富裕、生态良好的文明发展道路，科学发展水域滩涂利用评价，保护水域滩涂生态环境，明确区域经济发展方向，合理安排产业发展空间。将饮用水源、自然保护区等重要生态保护或公共安全红线和黄线区域作为禁止或限制养殖区，设定发展底线。</w:t>
      </w:r>
    </w:p>
    <w:p>
      <w:pPr>
        <w:spacing w:line="360" w:lineRule="auto"/>
        <w:ind w:firstLine="482" w:firstLineChars="200"/>
        <w:rPr>
          <w:rFonts w:ascii="Times New Roman" w:hAnsi="Times New Roman" w:cs="Times New Roman"/>
          <w:sz w:val="24"/>
          <w:szCs w:val="24"/>
        </w:rPr>
      </w:pPr>
      <w:r>
        <w:rPr>
          <w:rFonts w:ascii="Times New Roman" w:hAnsi="Times New Roman" w:cs="Times New Roman"/>
          <w:b/>
          <w:sz w:val="24"/>
          <w:szCs w:val="24"/>
        </w:rPr>
        <w:t>——坚持合理布局、转调结合的原则。</w:t>
      </w:r>
      <w:r>
        <w:rPr>
          <w:rFonts w:ascii="Times New Roman" w:hAnsi="Times New Roman" w:cs="Times New Roman"/>
          <w:sz w:val="24"/>
          <w:szCs w:val="24"/>
        </w:rPr>
        <w:t>稳定海水池塘和工厂化养殖，调减过密近海网箱养殖，发展外海深水网箱养殖；实现养殖水域滩涂的整体规划、合理储备、有序利用、协调发展。</w:t>
      </w:r>
    </w:p>
    <w:p>
      <w:pPr>
        <w:spacing w:line="360" w:lineRule="auto"/>
        <w:ind w:firstLine="482" w:firstLineChars="200"/>
        <w:rPr>
          <w:rFonts w:ascii="Times New Roman" w:hAnsi="Times New Roman" w:cs="Times New Roman"/>
          <w:sz w:val="24"/>
          <w:szCs w:val="24"/>
        </w:rPr>
      </w:pPr>
      <w:r>
        <w:rPr>
          <w:rFonts w:ascii="Times New Roman" w:hAnsi="Times New Roman" w:cs="Times New Roman"/>
          <w:b/>
          <w:sz w:val="24"/>
          <w:szCs w:val="24"/>
        </w:rPr>
        <w:t>——坚持总体协调、横向衔接的原则。</w:t>
      </w:r>
      <w:r>
        <w:rPr>
          <w:rFonts w:ascii="Times New Roman" w:hAnsi="Times New Roman" w:cs="Times New Roman"/>
          <w:sz w:val="24"/>
          <w:szCs w:val="24"/>
        </w:rPr>
        <w:t>将规划放在区域整体空间布局的框架下考虑，规划编制要与《</w:t>
      </w:r>
      <w:r>
        <w:rPr>
          <w:rFonts w:hint="eastAsia" w:ascii="Times New Roman" w:hAnsi="Times New Roman" w:cs="Times New Roman"/>
          <w:sz w:val="24"/>
          <w:szCs w:val="24"/>
        </w:rPr>
        <w:t>山东省</w:t>
      </w:r>
      <w:r>
        <w:rPr>
          <w:rFonts w:ascii="Times New Roman" w:hAnsi="Times New Roman" w:cs="Times New Roman"/>
          <w:sz w:val="24"/>
          <w:szCs w:val="24"/>
        </w:rPr>
        <w:t>海洋功能区划（2011-2020年）》</w:t>
      </w:r>
      <w:r>
        <w:rPr>
          <w:rFonts w:hint="eastAsia" w:ascii="Times New Roman" w:hAnsi="Times New Roman" w:cs="Times New Roman"/>
          <w:sz w:val="24"/>
          <w:szCs w:val="24"/>
        </w:rPr>
        <w:t>、</w:t>
      </w:r>
      <w:r>
        <w:rPr>
          <w:rFonts w:ascii="Times New Roman" w:hAnsi="Times New Roman" w:cs="Times New Roman"/>
          <w:sz w:val="24"/>
          <w:szCs w:val="24"/>
        </w:rPr>
        <w:t>《</w:t>
      </w:r>
      <w:r>
        <w:rPr>
          <w:rFonts w:hint="eastAsia" w:ascii="Times New Roman" w:hAnsi="Times New Roman" w:cs="Times New Roman"/>
          <w:sz w:val="24"/>
          <w:szCs w:val="24"/>
        </w:rPr>
        <w:t>烟台</w:t>
      </w:r>
      <w:r>
        <w:rPr>
          <w:rFonts w:ascii="Times New Roman" w:hAnsi="Times New Roman" w:cs="Times New Roman"/>
          <w:sz w:val="24"/>
          <w:szCs w:val="24"/>
        </w:rPr>
        <w:t>市海洋功能区划（2013-2020年）》</w:t>
      </w:r>
      <w:r>
        <w:rPr>
          <w:rFonts w:hint="eastAsia" w:ascii="Times New Roman" w:hAnsi="Times New Roman" w:cs="Times New Roman"/>
          <w:sz w:val="24"/>
          <w:szCs w:val="24"/>
        </w:rPr>
        <w:t>、《海阳市海域使用规划</w:t>
      </w:r>
      <w:r>
        <w:rPr>
          <w:rFonts w:ascii="Times New Roman" w:hAnsi="Times New Roman" w:cs="Times New Roman"/>
          <w:sz w:val="24"/>
          <w:szCs w:val="24"/>
        </w:rPr>
        <w:t>（2013-2020年）</w:t>
      </w:r>
      <w:r>
        <w:rPr>
          <w:rFonts w:hint="eastAsia" w:ascii="Times New Roman" w:hAnsi="Times New Roman" w:cs="Times New Roman"/>
          <w:sz w:val="24"/>
          <w:szCs w:val="24"/>
        </w:rPr>
        <w:t>》</w:t>
      </w:r>
      <w:r>
        <w:rPr>
          <w:rFonts w:ascii="Times New Roman" w:hAnsi="Times New Roman" w:cs="Times New Roman"/>
          <w:sz w:val="24"/>
          <w:szCs w:val="24"/>
        </w:rPr>
        <w:t>相相协调，同时注意与城市、交通、港口、旅游、环保等相关专项规划相衔接，避免交叉和矛盾，促进区域经济协调发展。</w:t>
      </w:r>
    </w:p>
    <w:p>
      <w:pPr>
        <w:pStyle w:val="3"/>
        <w:tabs>
          <w:tab w:val="left" w:pos="3450"/>
        </w:tabs>
        <w:spacing w:before="60" w:after="60"/>
        <w:rPr>
          <w:rFonts w:ascii="Times New Roman" w:hAnsi="Times New Roman" w:eastAsia="仿宋_GB2312"/>
          <w:szCs w:val="28"/>
        </w:rPr>
      </w:pPr>
      <w:bookmarkStart w:id="10" w:name="_Toc488925175"/>
      <w:r>
        <w:rPr>
          <w:rFonts w:ascii="Times New Roman" w:hAnsi="Times New Roman" w:eastAsia="仿宋_GB2312"/>
          <w:szCs w:val="28"/>
        </w:rPr>
        <w:t>（</w:t>
      </w:r>
      <w:r>
        <w:rPr>
          <w:rFonts w:ascii="Times New Roman" w:hAnsi="Times New Roman" w:eastAsia="仿宋_GB2312"/>
          <w:szCs w:val="28"/>
          <w:lang w:eastAsia="zh-CN"/>
        </w:rPr>
        <w:t>七</w:t>
      </w:r>
      <w:r>
        <w:rPr>
          <w:rFonts w:ascii="Times New Roman" w:hAnsi="Times New Roman" w:eastAsia="仿宋_GB2312"/>
          <w:szCs w:val="28"/>
        </w:rPr>
        <w:t>）规划</w:t>
      </w:r>
      <w:r>
        <w:rPr>
          <w:rFonts w:ascii="Times New Roman" w:hAnsi="Times New Roman" w:eastAsia="仿宋_GB2312"/>
          <w:szCs w:val="28"/>
          <w:lang w:eastAsia="zh-CN"/>
        </w:rPr>
        <w:t>范围</w:t>
      </w:r>
      <w:bookmarkEnd w:id="10"/>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本次规划范围东起与乳山市交界的琵琶岛官厅</w:t>
      </w:r>
      <w:r>
        <w:rPr>
          <w:rFonts w:hint="eastAsia" w:ascii="Times New Roman" w:hAnsi="Times New Roman" w:cs="Times New Roman"/>
          <w:sz w:val="24"/>
          <w:szCs w:val="24"/>
        </w:rPr>
        <w:t>嘴</w:t>
      </w:r>
      <w:r>
        <w:rPr>
          <w:rFonts w:ascii="Times New Roman" w:hAnsi="Times New Roman" w:cs="Times New Roman"/>
          <w:sz w:val="24"/>
          <w:szCs w:val="24"/>
        </w:rPr>
        <w:t>，西至与莱阳市交界的丁字湾，向陆至山东省人民政府批准确定的海岸线，向海至</w:t>
      </w:r>
      <w:r>
        <w:rPr>
          <w:rFonts w:hint="eastAsia" w:ascii="Times New Roman" w:hAnsi="Times New Roman" w:cs="Times New Roman"/>
          <w:sz w:val="24"/>
          <w:szCs w:val="24"/>
        </w:rPr>
        <w:t>山东省投影图</w:t>
      </w:r>
      <w:r>
        <w:rPr>
          <w:rFonts w:ascii="Times New Roman" w:hAnsi="Times New Roman" w:cs="Times New Roman"/>
          <w:sz w:val="24"/>
          <w:szCs w:val="24"/>
        </w:rPr>
        <w:t>外缘线，以及辖区内主要淡水水域。</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此次规划总面积</w:t>
      </w:r>
      <w:r>
        <w:rPr>
          <w:rFonts w:hint="eastAsia" w:ascii="Times New Roman" w:hAnsi="Times New Roman" w:cs="Times New Roman"/>
          <w:sz w:val="24"/>
          <w:szCs w:val="24"/>
        </w:rPr>
        <w:t>2</w:t>
      </w:r>
      <w:r>
        <w:rPr>
          <w:rFonts w:ascii="Times New Roman" w:hAnsi="Times New Roman" w:cs="Times New Roman"/>
          <w:sz w:val="24"/>
          <w:szCs w:val="24"/>
        </w:rPr>
        <w:t>15699.11</w:t>
      </w:r>
      <w:r>
        <w:rPr>
          <w:rFonts w:hint="eastAsia" w:ascii="Times New Roman" w:hAnsi="Times New Roman" w:cs="Times New Roman"/>
          <w:sz w:val="24"/>
          <w:szCs w:val="24"/>
        </w:rPr>
        <w:t>公顷</w:t>
      </w:r>
      <w:r>
        <w:rPr>
          <w:rFonts w:ascii="Times New Roman" w:hAnsi="Times New Roman" w:cs="Times New Roman"/>
          <w:sz w:val="24"/>
          <w:szCs w:val="24"/>
        </w:rPr>
        <w:t>，海岸线长229.40</w:t>
      </w:r>
      <w:r>
        <w:rPr>
          <w:rFonts w:hint="eastAsia" w:ascii="Times New Roman" w:hAnsi="Times New Roman" w:cs="Times New Roman"/>
          <w:sz w:val="24"/>
          <w:szCs w:val="24"/>
        </w:rPr>
        <w:t>千米</w:t>
      </w:r>
      <w:r>
        <w:rPr>
          <w:rFonts w:ascii="Times New Roman" w:hAnsi="Times New Roman" w:cs="Times New Roman"/>
          <w:sz w:val="24"/>
          <w:szCs w:val="24"/>
        </w:rPr>
        <w:t>，以海水养殖水域滩涂规划为主。其中，海水</w:t>
      </w:r>
      <w:r>
        <w:rPr>
          <w:rFonts w:hint="eastAsia" w:ascii="Times New Roman" w:hAnsi="Times New Roman" w:cs="Times New Roman"/>
          <w:sz w:val="24"/>
          <w:szCs w:val="24"/>
        </w:rPr>
        <w:t>养殖</w:t>
      </w:r>
      <w:r>
        <w:rPr>
          <w:rFonts w:ascii="Times New Roman" w:hAnsi="Times New Roman" w:cs="Times New Roman"/>
          <w:sz w:val="24"/>
          <w:szCs w:val="24"/>
        </w:rPr>
        <w:t>规划面积为214988.25</w:t>
      </w:r>
      <w:r>
        <w:rPr>
          <w:rFonts w:hint="eastAsia" w:ascii="Times New Roman" w:hAnsi="Times New Roman" w:cs="Times New Roman"/>
          <w:sz w:val="24"/>
          <w:szCs w:val="24"/>
        </w:rPr>
        <w:t>公顷</w:t>
      </w:r>
      <w:r>
        <w:rPr>
          <w:rFonts w:ascii="Times New Roman" w:hAnsi="Times New Roman" w:cs="Times New Roman"/>
          <w:sz w:val="24"/>
          <w:szCs w:val="24"/>
        </w:rPr>
        <w:t>，淡水</w:t>
      </w:r>
      <w:r>
        <w:rPr>
          <w:rFonts w:hint="eastAsia" w:ascii="Times New Roman" w:hAnsi="Times New Roman" w:cs="Times New Roman"/>
          <w:sz w:val="24"/>
          <w:szCs w:val="24"/>
        </w:rPr>
        <w:t>养殖</w:t>
      </w:r>
      <w:r>
        <w:rPr>
          <w:rFonts w:ascii="Times New Roman" w:hAnsi="Times New Roman" w:cs="Times New Roman"/>
          <w:sz w:val="24"/>
          <w:szCs w:val="24"/>
        </w:rPr>
        <w:t>规划面积为710.86</w:t>
      </w:r>
      <w:r>
        <w:rPr>
          <w:rFonts w:hint="eastAsia" w:ascii="Times New Roman" w:hAnsi="Times New Roman" w:cs="Times New Roman"/>
          <w:sz w:val="24"/>
          <w:szCs w:val="24"/>
        </w:rPr>
        <w:t>公顷</w:t>
      </w:r>
      <w:r>
        <w:rPr>
          <w:rFonts w:ascii="Times New Roman" w:hAnsi="Times New Roman" w:cs="Times New Roman"/>
          <w:sz w:val="24"/>
          <w:szCs w:val="24"/>
        </w:rPr>
        <w:t>。</w:t>
      </w:r>
    </w:p>
    <w:p>
      <w:pPr>
        <w:pStyle w:val="2"/>
        <w:spacing w:before="60" w:after="60" w:line="360" w:lineRule="auto"/>
        <w:rPr>
          <w:rFonts w:ascii="Times New Roman" w:hAnsi="Times New Roman"/>
          <w:color w:val="000000" w:themeColor="text1"/>
          <w:sz w:val="30"/>
          <w:szCs w:val="30"/>
          <w14:textFill>
            <w14:solidFill>
              <w14:schemeClr w14:val="tx1"/>
            </w14:solidFill>
          </w14:textFill>
        </w:rPr>
      </w:pPr>
      <w:bookmarkStart w:id="11" w:name="_Toc488925176"/>
      <w:r>
        <w:rPr>
          <w:rFonts w:ascii="Times New Roman" w:hAnsi="Times New Roman"/>
          <w:color w:val="000000" w:themeColor="text1"/>
          <w:sz w:val="30"/>
          <w:szCs w:val="30"/>
          <w14:textFill>
            <w14:solidFill>
              <w14:schemeClr w14:val="tx1"/>
            </w14:solidFill>
          </w14:textFill>
        </w:rPr>
        <w:t>二、规划的主要内容</w:t>
      </w:r>
      <w:bookmarkEnd w:id="11"/>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规划的表述采用条目形式，共分为五章十八节三十五条，主要内容包括：</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第一章，总则：阐述了开展养殖水域滩涂规划工作所面临的形势、背景和目的意义；确定了规划编制依据的法律、法规、规章、规范性文件等；明确了规划期限、规划目标、重点任务、规划编制遵循的主要原则以及本地区养殖水域滩涂规划范围。</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第二章，养殖水域滩涂利用评价：阐述了</w:t>
      </w:r>
      <w:r>
        <w:rPr>
          <w:rFonts w:hint="eastAsia" w:ascii="Times New Roman" w:hAnsi="Times New Roman" w:cs="Times New Roman"/>
          <w:sz w:val="24"/>
          <w:szCs w:val="24"/>
        </w:rPr>
        <w:t>海阳市</w:t>
      </w:r>
      <w:r>
        <w:rPr>
          <w:rFonts w:ascii="Times New Roman" w:hAnsi="Times New Roman" w:cs="Times New Roman"/>
          <w:sz w:val="24"/>
          <w:szCs w:val="24"/>
        </w:rPr>
        <w:t>水域滩涂资源状况、自然气候条件、水生生物资源状况、水域环境状况；根据水域滩涂资源、水文气候条件、水生生物资源、水域环境状况，着重进行了水域滩涂承载力分析；解析了</w:t>
      </w:r>
      <w:r>
        <w:rPr>
          <w:rFonts w:hint="eastAsia" w:ascii="Times New Roman" w:hAnsi="Times New Roman" w:cs="Times New Roman"/>
          <w:sz w:val="24"/>
          <w:szCs w:val="24"/>
        </w:rPr>
        <w:t>海阳市</w:t>
      </w:r>
      <w:r>
        <w:rPr>
          <w:rFonts w:ascii="Times New Roman" w:hAnsi="Times New Roman" w:cs="Times New Roman"/>
          <w:sz w:val="24"/>
          <w:szCs w:val="24"/>
        </w:rPr>
        <w:t>水产养殖发展现状和区域经济发展方向，对水产养殖产业市场发展潜力、发展趋势和养殖水域滩涂需求进行了预测。形成了养殖水域滩涂开发总体思路。</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第三章，养殖水域滩涂功能区划：定义了禁止养殖区、限制养殖区、养殖区划分方法，概述了养殖水域滩涂开发和保护重点。规划了</w:t>
      </w:r>
      <w:r>
        <w:rPr>
          <w:rFonts w:hint="eastAsia" w:ascii="Times New Roman" w:hAnsi="Times New Roman" w:cs="Times New Roman"/>
          <w:sz w:val="24"/>
          <w:szCs w:val="24"/>
        </w:rPr>
        <w:t>禁止养殖区共</w:t>
      </w:r>
      <w:r>
        <w:rPr>
          <w:rFonts w:ascii="Times New Roman" w:hAnsi="Times New Roman" w:cs="Times New Roman"/>
          <w:sz w:val="24"/>
          <w:szCs w:val="24"/>
        </w:rPr>
        <w:t>17</w:t>
      </w:r>
      <w:r>
        <w:rPr>
          <w:rFonts w:hint="eastAsia" w:ascii="Times New Roman" w:hAnsi="Times New Roman" w:cs="Times New Roman"/>
          <w:sz w:val="24"/>
          <w:szCs w:val="24"/>
        </w:rPr>
        <w:t>处</w:t>
      </w:r>
      <w:r>
        <w:rPr>
          <w:rFonts w:ascii="Times New Roman" w:hAnsi="Times New Roman" w:cs="Times New Roman"/>
          <w:sz w:val="24"/>
          <w:szCs w:val="24"/>
        </w:rPr>
        <w:t>，总面积31727.37</w:t>
      </w:r>
      <w:r>
        <w:rPr>
          <w:rFonts w:hint="eastAsia" w:ascii="Times New Roman" w:hAnsi="Times New Roman" w:cs="Times New Roman"/>
          <w:sz w:val="24"/>
          <w:szCs w:val="24"/>
        </w:rPr>
        <w:t>公顷</w:t>
      </w:r>
      <w:r>
        <w:rPr>
          <w:rFonts w:ascii="Times New Roman" w:hAnsi="Times New Roman" w:cs="Times New Roman"/>
          <w:sz w:val="24"/>
          <w:szCs w:val="24"/>
        </w:rPr>
        <w:t>；</w:t>
      </w:r>
      <w:r>
        <w:rPr>
          <w:rFonts w:hint="eastAsia" w:ascii="Times New Roman" w:hAnsi="Times New Roman" w:cs="Times New Roman"/>
          <w:sz w:val="24"/>
          <w:szCs w:val="24"/>
        </w:rPr>
        <w:t>限制养殖区共</w:t>
      </w:r>
      <w:r>
        <w:rPr>
          <w:rFonts w:ascii="Times New Roman" w:hAnsi="Times New Roman" w:cs="Times New Roman"/>
          <w:sz w:val="24"/>
          <w:szCs w:val="24"/>
        </w:rPr>
        <w:t>15</w:t>
      </w:r>
      <w:r>
        <w:rPr>
          <w:rFonts w:hint="eastAsia" w:ascii="Times New Roman" w:hAnsi="Times New Roman" w:cs="Times New Roman"/>
          <w:sz w:val="24"/>
          <w:szCs w:val="24"/>
        </w:rPr>
        <w:t>处</w:t>
      </w:r>
      <w:r>
        <w:rPr>
          <w:rFonts w:ascii="Times New Roman" w:hAnsi="Times New Roman" w:cs="Times New Roman"/>
          <w:sz w:val="24"/>
          <w:szCs w:val="24"/>
        </w:rPr>
        <w:t>，总面积32116.18</w:t>
      </w:r>
      <w:r>
        <w:rPr>
          <w:rFonts w:hint="eastAsia" w:ascii="Times New Roman" w:hAnsi="Times New Roman" w:cs="Times New Roman"/>
          <w:sz w:val="24"/>
          <w:szCs w:val="24"/>
        </w:rPr>
        <w:t>公顷</w:t>
      </w:r>
      <w:r>
        <w:rPr>
          <w:rFonts w:ascii="Times New Roman" w:hAnsi="Times New Roman" w:cs="Times New Roman"/>
          <w:sz w:val="24"/>
          <w:szCs w:val="24"/>
        </w:rPr>
        <w:t>；养殖区</w:t>
      </w:r>
      <w:r>
        <w:rPr>
          <w:rFonts w:hint="eastAsia" w:ascii="Times New Roman" w:hAnsi="Times New Roman" w:cs="Times New Roman"/>
          <w:sz w:val="24"/>
          <w:szCs w:val="24"/>
        </w:rPr>
        <w:t>共</w:t>
      </w:r>
      <w:r>
        <w:rPr>
          <w:rFonts w:ascii="Times New Roman" w:hAnsi="Times New Roman" w:cs="Times New Roman"/>
          <w:sz w:val="24"/>
          <w:szCs w:val="24"/>
        </w:rPr>
        <w:t>7</w:t>
      </w:r>
      <w:r>
        <w:rPr>
          <w:rFonts w:hint="eastAsia" w:ascii="Times New Roman" w:hAnsi="Times New Roman" w:cs="Times New Roman"/>
          <w:sz w:val="24"/>
          <w:szCs w:val="24"/>
        </w:rPr>
        <w:t>处</w:t>
      </w:r>
      <w:r>
        <w:rPr>
          <w:rFonts w:ascii="Times New Roman" w:hAnsi="Times New Roman" w:cs="Times New Roman"/>
          <w:sz w:val="24"/>
          <w:szCs w:val="24"/>
        </w:rPr>
        <w:t>，总面积151855.56</w:t>
      </w:r>
      <w:r>
        <w:rPr>
          <w:rFonts w:hint="eastAsia" w:ascii="Times New Roman" w:hAnsi="Times New Roman" w:cs="Times New Roman"/>
          <w:sz w:val="24"/>
          <w:szCs w:val="24"/>
        </w:rPr>
        <w:t>公顷</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第四章，保障措施：明确了渔业部门管理职责、建立与其他部门的合作联动机制、建立政府统一协调机制、规范规划修订等；完善了用途管制、养殖水域滩涂使用审批、水产养殖生产执法等的机制。</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第五章，附则：规定了《规划》及其附件的效力。</w:t>
      </w: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pStyle w:val="8"/>
        <w:spacing w:before="60" w:line="360" w:lineRule="auto"/>
        <w:jc w:val="both"/>
        <w:rPr>
          <w:rFonts w:ascii="Times New Roman" w:hAnsi="Times New Roman" w:eastAsia="仿宋_GB2312"/>
          <w:szCs w:val="32"/>
        </w:rPr>
      </w:pPr>
      <w:bookmarkStart w:id="12" w:name="_Toc488925177"/>
      <w:r>
        <w:rPr>
          <w:rFonts w:ascii="Times New Roman" w:hAnsi="Times New Roman" w:eastAsia="仿宋_GB2312"/>
          <w:szCs w:val="32"/>
        </w:rPr>
        <w:t>三、规划的编制过程</w:t>
      </w:r>
      <w:bookmarkEnd w:id="12"/>
    </w:p>
    <w:p>
      <w:pPr>
        <w:pStyle w:val="3"/>
        <w:tabs>
          <w:tab w:val="left" w:pos="3450"/>
        </w:tabs>
        <w:spacing w:before="60" w:after="60"/>
        <w:rPr>
          <w:rFonts w:ascii="Times New Roman" w:hAnsi="Times New Roman" w:eastAsia="仿宋_GB2312"/>
          <w:szCs w:val="28"/>
          <w:lang w:eastAsia="zh-CN"/>
        </w:rPr>
      </w:pPr>
      <w:bookmarkStart w:id="13" w:name="_Toc488925178"/>
      <w:r>
        <w:rPr>
          <w:rFonts w:ascii="Times New Roman" w:hAnsi="Times New Roman" w:eastAsia="仿宋_GB2312"/>
          <w:szCs w:val="28"/>
        </w:rPr>
        <w:t>（一）组织落实</w:t>
      </w:r>
      <w:bookmarkEnd w:id="13"/>
    </w:p>
    <w:p>
      <w:pPr>
        <w:spacing w:line="360" w:lineRule="auto"/>
        <w:ind w:firstLine="482"/>
        <w:rPr>
          <w:rFonts w:ascii="Times New Roman" w:hAnsi="Times New Roman" w:cs="Times New Roman"/>
          <w:sz w:val="24"/>
          <w:szCs w:val="24"/>
        </w:rPr>
      </w:pPr>
      <w:r>
        <w:rPr>
          <w:rFonts w:ascii="Times New Roman" w:hAnsi="Times New Roman" w:cs="Times New Roman"/>
          <w:sz w:val="24"/>
          <w:szCs w:val="24"/>
        </w:rPr>
        <w:t>成立</w:t>
      </w:r>
      <w:r>
        <w:rPr>
          <w:rFonts w:hint="eastAsia" w:ascii="Times New Roman" w:hAnsi="Times New Roman" w:cs="Times New Roman"/>
          <w:sz w:val="24"/>
          <w:szCs w:val="24"/>
        </w:rPr>
        <w:t>海阳市</w:t>
      </w:r>
      <w:r>
        <w:rPr>
          <w:rFonts w:ascii="Times New Roman" w:hAnsi="Times New Roman" w:cs="Times New Roman"/>
          <w:sz w:val="24"/>
          <w:szCs w:val="24"/>
        </w:rPr>
        <w:t>养殖水域滩涂规划编制领导小组、编制工作组。规划编制领导小组由</w:t>
      </w:r>
      <w:r>
        <w:rPr>
          <w:rFonts w:hint="eastAsia" w:ascii="Times New Roman" w:hAnsi="Times New Roman" w:cs="Times New Roman"/>
          <w:sz w:val="24"/>
          <w:szCs w:val="24"/>
        </w:rPr>
        <w:t>海阳市</w:t>
      </w:r>
      <w:r>
        <w:rPr>
          <w:rFonts w:ascii="Times New Roman" w:hAnsi="Times New Roman" w:cs="Times New Roman"/>
          <w:sz w:val="24"/>
          <w:szCs w:val="24"/>
        </w:rPr>
        <w:t>海洋</w:t>
      </w:r>
      <w:r>
        <w:rPr>
          <w:rFonts w:hint="eastAsia" w:ascii="Times New Roman" w:hAnsi="Times New Roman" w:cs="Times New Roman"/>
          <w:sz w:val="24"/>
          <w:szCs w:val="24"/>
        </w:rPr>
        <w:t>与</w:t>
      </w:r>
      <w:r>
        <w:rPr>
          <w:rFonts w:ascii="Times New Roman" w:hAnsi="Times New Roman" w:cs="Times New Roman"/>
          <w:sz w:val="24"/>
          <w:szCs w:val="24"/>
        </w:rPr>
        <w:t>渔业局领导及海洋领域有关专家组成，解决规划编制中的重大问题，为规划编制进行决策指导及协调。编制</w:t>
      </w:r>
      <w:r>
        <w:rPr>
          <w:rFonts w:hint="eastAsia" w:ascii="Times New Roman" w:hAnsi="Times New Roman" w:cs="Times New Roman"/>
          <w:sz w:val="24"/>
          <w:szCs w:val="24"/>
        </w:rPr>
        <w:t>工作</w:t>
      </w:r>
      <w:r>
        <w:rPr>
          <w:rFonts w:ascii="Times New Roman" w:hAnsi="Times New Roman" w:cs="Times New Roman"/>
          <w:sz w:val="24"/>
          <w:szCs w:val="24"/>
        </w:rPr>
        <w:t>组</w:t>
      </w:r>
      <w:r>
        <w:rPr>
          <w:rFonts w:hint="eastAsia" w:ascii="Times New Roman" w:hAnsi="Times New Roman" w:cs="Times New Roman"/>
          <w:sz w:val="24"/>
          <w:szCs w:val="24"/>
        </w:rPr>
        <w:t>由鲁东大学具体实施</w:t>
      </w:r>
      <w:r>
        <w:rPr>
          <w:rFonts w:ascii="Times New Roman" w:hAnsi="Times New Roman" w:cs="Times New Roman"/>
          <w:sz w:val="24"/>
          <w:szCs w:val="24"/>
        </w:rPr>
        <w:t>，负责规划</w:t>
      </w:r>
      <w:r>
        <w:rPr>
          <w:rFonts w:hint="eastAsia" w:ascii="Times New Roman" w:hAnsi="Times New Roman" w:cs="Times New Roman"/>
          <w:sz w:val="24"/>
          <w:szCs w:val="24"/>
        </w:rPr>
        <w:t>海阳市</w:t>
      </w:r>
      <w:r>
        <w:rPr>
          <w:rFonts w:ascii="Times New Roman" w:hAnsi="Times New Roman" w:cs="Times New Roman"/>
          <w:sz w:val="24"/>
          <w:szCs w:val="24"/>
        </w:rPr>
        <w:t>养殖水域滩涂规划编制工作方案。</w:t>
      </w:r>
    </w:p>
    <w:p>
      <w:pPr>
        <w:spacing w:line="360" w:lineRule="auto"/>
        <w:ind w:firstLine="482"/>
        <w:rPr>
          <w:rFonts w:ascii="Times New Roman" w:hAnsi="Times New Roman" w:cs="Times New Roman"/>
          <w:sz w:val="24"/>
          <w:szCs w:val="24"/>
        </w:rPr>
      </w:pPr>
      <w:r>
        <w:rPr>
          <w:rFonts w:ascii="Times New Roman" w:hAnsi="Times New Roman" w:cs="Times New Roman"/>
          <w:sz w:val="24"/>
          <w:szCs w:val="24"/>
        </w:rPr>
        <w:t>方案中明确了本次规划的工作任务，制定了技术路线和实施方案，并对本次编制工作进度和组织人员安排做了详细部署。</w:t>
      </w:r>
    </w:p>
    <w:p>
      <w:pPr>
        <w:pStyle w:val="3"/>
        <w:tabs>
          <w:tab w:val="left" w:pos="3450"/>
        </w:tabs>
        <w:spacing w:before="60" w:after="60"/>
        <w:rPr>
          <w:rFonts w:ascii="Times New Roman" w:hAnsi="Times New Roman" w:eastAsia="仿宋_GB2312"/>
          <w:szCs w:val="28"/>
          <w:lang w:val="en-US"/>
        </w:rPr>
      </w:pPr>
      <w:bookmarkStart w:id="14" w:name="_Toc488925179"/>
      <w:r>
        <w:rPr>
          <w:rFonts w:ascii="Times New Roman" w:hAnsi="Times New Roman" w:eastAsia="仿宋_GB2312"/>
          <w:szCs w:val="28"/>
        </w:rPr>
        <w:t>（</w:t>
      </w:r>
      <w:r>
        <w:rPr>
          <w:rFonts w:ascii="Times New Roman" w:hAnsi="Times New Roman" w:eastAsia="仿宋_GB2312"/>
          <w:szCs w:val="28"/>
          <w:lang w:eastAsia="zh-CN"/>
        </w:rPr>
        <w:t>二</w:t>
      </w:r>
      <w:r>
        <w:rPr>
          <w:rFonts w:ascii="Times New Roman" w:hAnsi="Times New Roman" w:eastAsia="仿宋_GB2312"/>
          <w:szCs w:val="28"/>
        </w:rPr>
        <w:t>）</w:t>
      </w:r>
      <w:r>
        <w:rPr>
          <w:rFonts w:ascii="Times New Roman" w:hAnsi="Times New Roman" w:eastAsia="仿宋_GB2312"/>
          <w:szCs w:val="28"/>
          <w:lang w:val="en-US"/>
        </w:rPr>
        <w:t>资料收集、规划调研与外业调查</w:t>
      </w:r>
      <w:bookmarkEnd w:id="14"/>
    </w:p>
    <w:p>
      <w:pPr>
        <w:spacing w:line="360" w:lineRule="auto"/>
        <w:ind w:firstLine="482"/>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w:t>
      </w:r>
      <w:r>
        <w:rPr>
          <w:rFonts w:ascii="Times New Roman" w:hAnsi="Times New Roman" w:cs="Times New Roman"/>
          <w:sz w:val="24"/>
          <w:szCs w:val="24"/>
        </w:rPr>
        <w:t>统计资料。来源于</w:t>
      </w:r>
      <w:r>
        <w:rPr>
          <w:rFonts w:hint="eastAsia" w:ascii="Times New Roman" w:hAnsi="Times New Roman" w:cs="Times New Roman"/>
          <w:sz w:val="24"/>
          <w:szCs w:val="24"/>
        </w:rPr>
        <w:t>海阳市</w:t>
      </w:r>
      <w:r>
        <w:rPr>
          <w:rFonts w:ascii="Times New Roman" w:hAnsi="Times New Roman" w:cs="Times New Roman"/>
          <w:sz w:val="24"/>
          <w:szCs w:val="24"/>
        </w:rPr>
        <w:t>近三年渔业生产公报、渔业生态公报、年鉴</w:t>
      </w:r>
      <w:r>
        <w:rPr>
          <w:rFonts w:hint="eastAsia" w:ascii="Times New Roman" w:hAnsi="Times New Roman" w:cs="Times New Roman"/>
          <w:sz w:val="24"/>
          <w:szCs w:val="24"/>
        </w:rPr>
        <w:t>、海阳市统计年报</w:t>
      </w:r>
      <w:r>
        <w:rPr>
          <w:rFonts w:ascii="Times New Roman" w:hAnsi="Times New Roman" w:cs="Times New Roman"/>
          <w:sz w:val="24"/>
          <w:szCs w:val="24"/>
        </w:rPr>
        <w:t>等统计资料。</w:t>
      </w:r>
    </w:p>
    <w:p>
      <w:pPr>
        <w:spacing w:line="360" w:lineRule="auto"/>
        <w:ind w:firstLine="482"/>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w:t>
      </w:r>
      <w:r>
        <w:rPr>
          <w:rFonts w:ascii="Times New Roman" w:hAnsi="Times New Roman" w:cs="Times New Roman"/>
          <w:sz w:val="24"/>
          <w:szCs w:val="24"/>
        </w:rPr>
        <w:t>调查研究成果。主要包括《</w:t>
      </w:r>
      <w:r>
        <w:rPr>
          <w:rFonts w:hint="eastAsia" w:ascii="Times New Roman" w:hAnsi="Times New Roman" w:cs="Times New Roman"/>
          <w:sz w:val="24"/>
          <w:szCs w:val="24"/>
        </w:rPr>
        <w:t>山东省</w:t>
      </w:r>
      <w:r>
        <w:rPr>
          <w:rFonts w:ascii="Times New Roman" w:hAnsi="Times New Roman" w:cs="Times New Roman"/>
          <w:sz w:val="24"/>
          <w:szCs w:val="24"/>
        </w:rPr>
        <w:t>海洋功能区划（2011-2020年）》</w:t>
      </w:r>
      <w:r>
        <w:rPr>
          <w:rFonts w:hint="eastAsia" w:ascii="Times New Roman" w:hAnsi="Times New Roman" w:cs="Times New Roman"/>
          <w:sz w:val="24"/>
          <w:szCs w:val="24"/>
        </w:rPr>
        <w:t>、</w:t>
      </w:r>
      <w:r>
        <w:rPr>
          <w:rFonts w:ascii="Times New Roman" w:hAnsi="Times New Roman" w:cs="Times New Roman"/>
          <w:sz w:val="24"/>
          <w:szCs w:val="24"/>
        </w:rPr>
        <w:t>《烟台市海洋功能区划（2013-2020年）》</w:t>
      </w:r>
      <w:r>
        <w:rPr>
          <w:rFonts w:hint="eastAsia" w:ascii="Times New Roman" w:hAnsi="Times New Roman" w:cs="Times New Roman"/>
          <w:sz w:val="24"/>
          <w:szCs w:val="24"/>
        </w:rPr>
        <w:t>、《海阳市</w:t>
      </w:r>
      <w:r>
        <w:rPr>
          <w:rFonts w:ascii="Times New Roman" w:hAnsi="Times New Roman" w:cs="Times New Roman"/>
          <w:sz w:val="24"/>
          <w:szCs w:val="24"/>
        </w:rPr>
        <w:t>海域使用规划（2013-2020年）</w:t>
      </w:r>
      <w:r>
        <w:rPr>
          <w:rFonts w:hint="eastAsia" w:ascii="Times New Roman" w:hAnsi="Times New Roman" w:cs="Times New Roman"/>
          <w:sz w:val="24"/>
          <w:szCs w:val="24"/>
        </w:rPr>
        <w:t>》</w:t>
      </w:r>
      <w:r>
        <w:rPr>
          <w:rFonts w:ascii="Times New Roman" w:hAnsi="Times New Roman" w:cs="Times New Roman"/>
          <w:sz w:val="24"/>
          <w:szCs w:val="24"/>
        </w:rPr>
        <w:t>等已有成果；养殖水域滩涂规划、环境承载力分析评价的国内外文献资料；</w:t>
      </w:r>
      <w:r>
        <w:rPr>
          <w:rFonts w:hint="eastAsia" w:ascii="Times New Roman" w:hAnsi="Times New Roman" w:cs="Times New Roman"/>
          <w:sz w:val="24"/>
          <w:szCs w:val="24"/>
        </w:rPr>
        <w:t>海阳市</w:t>
      </w:r>
      <w:r>
        <w:rPr>
          <w:rFonts w:ascii="Times New Roman" w:hAnsi="Times New Roman" w:cs="Times New Roman"/>
          <w:sz w:val="24"/>
          <w:szCs w:val="24"/>
        </w:rPr>
        <w:t>养殖水域滩涂资源状况的调查研究资料等。</w:t>
      </w:r>
    </w:p>
    <w:p>
      <w:pPr>
        <w:spacing w:line="360" w:lineRule="auto"/>
        <w:ind w:firstLine="482"/>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w:t>
      </w:r>
      <w:r>
        <w:rPr>
          <w:rFonts w:ascii="Times New Roman" w:hAnsi="Times New Roman" w:cs="Times New Roman"/>
          <w:sz w:val="24"/>
          <w:szCs w:val="24"/>
        </w:rPr>
        <w:t>政策与社会发展资料。《海阳市城市总体规划（2005-2020 年）》</w:t>
      </w:r>
      <w:r>
        <w:rPr>
          <w:rFonts w:hint="eastAsia" w:ascii="Times New Roman" w:hAnsi="Times New Roman" w:cs="Times New Roman"/>
          <w:sz w:val="24"/>
          <w:szCs w:val="24"/>
        </w:rPr>
        <w:t>、</w:t>
      </w:r>
      <w:r>
        <w:rPr>
          <w:rFonts w:ascii="Times New Roman" w:hAnsi="Times New Roman" w:cs="Times New Roman"/>
          <w:sz w:val="24"/>
          <w:szCs w:val="24"/>
        </w:rPr>
        <w:t>《海阳市旅游发展总体规划（2007-2020 年）》</w:t>
      </w:r>
      <w:r>
        <w:rPr>
          <w:rFonts w:hint="eastAsia" w:ascii="Times New Roman" w:hAnsi="Times New Roman" w:cs="Times New Roman"/>
          <w:sz w:val="24"/>
          <w:szCs w:val="24"/>
        </w:rPr>
        <w:t>、</w:t>
      </w:r>
      <w:r>
        <w:rPr>
          <w:rFonts w:ascii="Times New Roman" w:hAnsi="Times New Roman" w:cs="Times New Roman"/>
          <w:sz w:val="24"/>
          <w:szCs w:val="24"/>
        </w:rPr>
        <w:t>《海阳市一片两带经济发展规划（2008-2020 年）》</w:t>
      </w:r>
      <w:r>
        <w:rPr>
          <w:rFonts w:hint="eastAsia" w:ascii="Times New Roman" w:hAnsi="Times New Roman" w:cs="Times New Roman"/>
          <w:sz w:val="24"/>
          <w:szCs w:val="24"/>
        </w:rPr>
        <w:t>、</w:t>
      </w:r>
      <w:r>
        <w:rPr>
          <w:rFonts w:ascii="Times New Roman" w:hAnsi="Times New Roman" w:cs="Times New Roman"/>
          <w:sz w:val="24"/>
          <w:szCs w:val="24"/>
        </w:rPr>
        <w:t>《海阳市海洋经济发展战略规划（2008-2020 年）》</w:t>
      </w:r>
      <w:r>
        <w:rPr>
          <w:rFonts w:hint="eastAsia" w:ascii="Times New Roman" w:hAnsi="Times New Roman" w:cs="Times New Roman"/>
          <w:sz w:val="24"/>
          <w:szCs w:val="24"/>
        </w:rPr>
        <w:t>、《</w:t>
      </w:r>
      <w:r>
        <w:rPr>
          <w:rFonts w:ascii="Times New Roman" w:hAnsi="Times New Roman" w:cs="Times New Roman"/>
          <w:sz w:val="24"/>
          <w:szCs w:val="24"/>
        </w:rPr>
        <w:t>海阳旅游度假区总体规划（2011-2025 年）</w:t>
      </w:r>
      <w:r>
        <w:rPr>
          <w:rFonts w:hint="eastAsia" w:ascii="Times New Roman" w:hAnsi="Times New Roman" w:cs="Times New Roman"/>
          <w:sz w:val="24"/>
          <w:szCs w:val="24"/>
        </w:rPr>
        <w:t>》</w:t>
      </w:r>
      <w:r>
        <w:rPr>
          <w:rFonts w:ascii="Times New Roman" w:hAnsi="Times New Roman" w:cs="Times New Roman"/>
          <w:sz w:val="24"/>
          <w:szCs w:val="24"/>
        </w:rPr>
        <w:t>等。</w:t>
      </w:r>
    </w:p>
    <w:p>
      <w:pPr>
        <w:spacing w:line="360" w:lineRule="auto"/>
        <w:ind w:firstLine="482"/>
        <w:rPr>
          <w:rFonts w:ascii="Times New Roman" w:hAnsi="Times New Roman" w:cs="Times New Roman"/>
          <w:sz w:val="24"/>
          <w:szCs w:val="24"/>
        </w:rPr>
      </w:pPr>
      <w:r>
        <w:rPr>
          <w:rFonts w:ascii="Times New Roman" w:hAnsi="Times New Roman" w:cs="Times New Roman"/>
          <w:sz w:val="24"/>
          <w:szCs w:val="24"/>
        </w:rPr>
        <w:t>4</w:t>
      </w:r>
      <w:r>
        <w:rPr>
          <w:rFonts w:hint="eastAsia" w:ascii="Times New Roman" w:hAnsi="Times New Roman" w:cs="Times New Roman"/>
          <w:sz w:val="24"/>
          <w:szCs w:val="24"/>
        </w:rPr>
        <w:t>、</w:t>
      </w:r>
      <w:r>
        <w:rPr>
          <w:rFonts w:ascii="Times New Roman" w:hAnsi="Times New Roman" w:cs="Times New Roman"/>
          <w:sz w:val="24"/>
          <w:szCs w:val="24"/>
        </w:rPr>
        <w:t>实地调查资料。实地调查</w:t>
      </w:r>
      <w:r>
        <w:rPr>
          <w:rFonts w:hint="eastAsia" w:ascii="Times New Roman" w:hAnsi="Times New Roman" w:cs="Times New Roman"/>
          <w:sz w:val="24"/>
          <w:szCs w:val="24"/>
        </w:rPr>
        <w:t>海阳市</w:t>
      </w:r>
      <w:r>
        <w:rPr>
          <w:rFonts w:ascii="Times New Roman" w:hAnsi="Times New Roman" w:cs="Times New Roman"/>
          <w:sz w:val="24"/>
          <w:szCs w:val="24"/>
        </w:rPr>
        <w:t>养殖水域滩涂现状，</w:t>
      </w:r>
      <w:r>
        <w:rPr>
          <w:rFonts w:hint="eastAsia" w:ascii="Times New Roman" w:hAnsi="Times New Roman" w:cs="Times New Roman"/>
          <w:sz w:val="24"/>
          <w:szCs w:val="24"/>
        </w:rPr>
        <w:t>获取</w:t>
      </w:r>
      <w:r>
        <w:rPr>
          <w:rFonts w:ascii="Times New Roman" w:hAnsi="Times New Roman" w:cs="Times New Roman"/>
          <w:sz w:val="24"/>
          <w:szCs w:val="24"/>
        </w:rPr>
        <w:t>最新实地资料。</w:t>
      </w:r>
    </w:p>
    <w:p>
      <w:pPr>
        <w:pStyle w:val="3"/>
        <w:tabs>
          <w:tab w:val="left" w:pos="3450"/>
        </w:tabs>
        <w:spacing w:before="60" w:after="60"/>
        <w:rPr>
          <w:rFonts w:ascii="Times New Roman" w:hAnsi="Times New Roman" w:eastAsia="仿宋_GB2312"/>
          <w:szCs w:val="28"/>
          <w:lang w:val="en-US"/>
        </w:rPr>
      </w:pPr>
      <w:bookmarkStart w:id="15" w:name="_Toc488925180"/>
      <w:r>
        <w:rPr>
          <w:rFonts w:ascii="Times New Roman" w:hAnsi="Times New Roman" w:eastAsia="仿宋_GB2312"/>
          <w:szCs w:val="28"/>
        </w:rPr>
        <w:t>（</w:t>
      </w:r>
      <w:r>
        <w:rPr>
          <w:rFonts w:ascii="Times New Roman" w:hAnsi="Times New Roman" w:eastAsia="仿宋_GB2312"/>
          <w:szCs w:val="28"/>
          <w:lang w:eastAsia="zh-CN"/>
        </w:rPr>
        <w:t>三</w:t>
      </w:r>
      <w:r>
        <w:rPr>
          <w:rFonts w:ascii="Times New Roman" w:hAnsi="Times New Roman" w:eastAsia="仿宋_GB2312"/>
          <w:szCs w:val="28"/>
        </w:rPr>
        <w:t>）</w:t>
      </w:r>
      <w:r>
        <w:rPr>
          <w:rFonts w:ascii="Times New Roman" w:hAnsi="Times New Roman" w:eastAsia="仿宋_GB2312"/>
          <w:szCs w:val="28"/>
          <w:lang w:val="en-US" w:eastAsia="zh-CN"/>
        </w:rPr>
        <w:t>报告</w:t>
      </w:r>
      <w:r>
        <w:rPr>
          <w:rFonts w:ascii="Times New Roman" w:hAnsi="Times New Roman" w:eastAsia="仿宋_GB2312"/>
          <w:szCs w:val="28"/>
          <w:lang w:val="en-US"/>
        </w:rPr>
        <w:t>编写和图件绘制</w:t>
      </w:r>
      <w:bookmarkEnd w:id="15"/>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在丰富、详实资料的基础上，进行了分析研究和综合处理，形成了《</w:t>
      </w:r>
      <w:r>
        <w:rPr>
          <w:rFonts w:hint="eastAsia" w:ascii="Times New Roman" w:hAnsi="Times New Roman" w:cs="Times New Roman"/>
          <w:sz w:val="24"/>
          <w:szCs w:val="24"/>
        </w:rPr>
        <w:t>海阳市</w:t>
      </w:r>
      <w:r>
        <w:rPr>
          <w:rFonts w:ascii="Times New Roman" w:hAnsi="Times New Roman" w:cs="Times New Roman"/>
          <w:sz w:val="24"/>
          <w:szCs w:val="24"/>
        </w:rPr>
        <w:t>养殖水域滩涂规划报告</w:t>
      </w:r>
      <w:r>
        <w:rPr>
          <w:rFonts w:hint="eastAsia" w:ascii="Times New Roman" w:hAnsi="Times New Roman" w:cs="Times New Roman"/>
          <w:sz w:val="24"/>
          <w:szCs w:val="24"/>
        </w:rPr>
        <w:t>（2</w:t>
      </w:r>
      <w:r>
        <w:rPr>
          <w:rFonts w:ascii="Times New Roman" w:hAnsi="Times New Roman" w:cs="Times New Roman"/>
          <w:sz w:val="24"/>
          <w:szCs w:val="24"/>
        </w:rPr>
        <w:t>018</w:t>
      </w:r>
      <w:r>
        <w:rPr>
          <w:rFonts w:hint="eastAsia" w:ascii="Times New Roman" w:hAnsi="Times New Roman" w:cs="Times New Roman"/>
          <w:sz w:val="24"/>
          <w:szCs w:val="24"/>
        </w:rPr>
        <w:t>-</w:t>
      </w:r>
      <w:r>
        <w:rPr>
          <w:rFonts w:ascii="Times New Roman" w:hAnsi="Times New Roman" w:cs="Times New Roman"/>
          <w:sz w:val="24"/>
          <w:szCs w:val="24"/>
        </w:rPr>
        <w:t>2030</w:t>
      </w:r>
      <w:r>
        <w:rPr>
          <w:rFonts w:hint="eastAsia" w:ascii="Times New Roman" w:hAnsi="Times New Roman" w:cs="Times New Roman"/>
          <w:sz w:val="24"/>
          <w:szCs w:val="24"/>
        </w:rPr>
        <w:t>年）</w:t>
      </w:r>
      <w:r>
        <w:rPr>
          <w:rFonts w:ascii="Times New Roman" w:hAnsi="Times New Roman" w:cs="Times New Roman"/>
          <w:sz w:val="24"/>
          <w:szCs w:val="24"/>
        </w:rPr>
        <w:t>》，</w:t>
      </w:r>
      <w:r>
        <w:rPr>
          <w:rFonts w:hint="eastAsia" w:ascii="Times New Roman" w:hAnsi="Times New Roman" w:cs="Times New Roman"/>
          <w:sz w:val="24"/>
          <w:szCs w:val="24"/>
        </w:rPr>
        <w:t>并</w:t>
      </w:r>
      <w:r>
        <w:rPr>
          <w:rFonts w:ascii="Times New Roman" w:hAnsi="Times New Roman" w:cs="Times New Roman"/>
          <w:sz w:val="24"/>
          <w:szCs w:val="24"/>
        </w:rPr>
        <w:t>按照农业部《养殖水域滩涂规划编制工作规范》的要求，绘制了</w:t>
      </w:r>
      <w:r>
        <w:rPr>
          <w:rFonts w:hint="eastAsia" w:ascii="Times New Roman" w:hAnsi="Times New Roman" w:cs="Times New Roman"/>
          <w:sz w:val="24"/>
          <w:szCs w:val="24"/>
        </w:rPr>
        <w:t>三分图和</w:t>
      </w:r>
      <w:r>
        <w:rPr>
          <w:rFonts w:ascii="Times New Roman" w:hAnsi="Times New Roman" w:cs="Times New Roman"/>
          <w:sz w:val="24"/>
          <w:szCs w:val="24"/>
        </w:rPr>
        <w:t>1:100000</w:t>
      </w:r>
      <w:r>
        <w:rPr>
          <w:rFonts w:hint="eastAsia" w:ascii="Times New Roman" w:hAnsi="Times New Roman" w:cs="Times New Roman"/>
          <w:sz w:val="24"/>
          <w:szCs w:val="24"/>
        </w:rPr>
        <w:t>分幅</w:t>
      </w:r>
      <w:r>
        <w:rPr>
          <w:rFonts w:ascii="Times New Roman" w:hAnsi="Times New Roman" w:cs="Times New Roman"/>
          <w:sz w:val="24"/>
          <w:szCs w:val="24"/>
        </w:rPr>
        <w:t>图，编制了</w:t>
      </w:r>
      <w:r>
        <w:rPr>
          <w:rFonts w:hint="eastAsia" w:ascii="Times New Roman" w:hAnsi="Times New Roman" w:cs="Times New Roman"/>
          <w:sz w:val="24"/>
          <w:szCs w:val="24"/>
        </w:rPr>
        <w:t>养殖水域滩涂</w:t>
      </w:r>
      <w:r>
        <w:rPr>
          <w:rFonts w:ascii="Times New Roman" w:hAnsi="Times New Roman" w:cs="Times New Roman"/>
          <w:sz w:val="24"/>
          <w:szCs w:val="24"/>
        </w:rPr>
        <w:t>功能区登记表。</w:t>
      </w:r>
    </w:p>
    <w:p>
      <w:pPr>
        <w:pStyle w:val="3"/>
        <w:tabs>
          <w:tab w:val="left" w:pos="3450"/>
        </w:tabs>
        <w:spacing w:before="60" w:after="60"/>
        <w:rPr>
          <w:rFonts w:ascii="Times New Roman" w:hAnsi="Times New Roman" w:eastAsia="仿宋_GB2312"/>
          <w:szCs w:val="28"/>
          <w:lang w:val="en-US" w:eastAsia="zh-CN"/>
        </w:rPr>
      </w:pPr>
      <w:bookmarkStart w:id="16" w:name="_Toc488925181"/>
      <w:r>
        <w:rPr>
          <w:rFonts w:ascii="Times New Roman" w:hAnsi="Times New Roman" w:eastAsia="仿宋_GB2312"/>
          <w:szCs w:val="28"/>
        </w:rPr>
        <w:t>（</w:t>
      </w:r>
      <w:r>
        <w:rPr>
          <w:rFonts w:ascii="Times New Roman" w:hAnsi="Times New Roman" w:eastAsia="仿宋_GB2312"/>
          <w:szCs w:val="28"/>
          <w:lang w:eastAsia="zh-CN"/>
        </w:rPr>
        <w:t>四</w:t>
      </w:r>
      <w:r>
        <w:rPr>
          <w:rFonts w:ascii="Times New Roman" w:hAnsi="Times New Roman" w:eastAsia="仿宋_GB2312"/>
          <w:szCs w:val="28"/>
        </w:rPr>
        <w:t>）</w:t>
      </w:r>
      <w:r>
        <w:rPr>
          <w:rFonts w:ascii="Times New Roman" w:hAnsi="Times New Roman" w:eastAsia="仿宋_GB2312"/>
          <w:szCs w:val="28"/>
          <w:lang w:val="en-US" w:eastAsia="zh-CN"/>
        </w:rPr>
        <w:t>报告</w:t>
      </w:r>
      <w:r>
        <w:rPr>
          <w:rFonts w:ascii="Times New Roman" w:hAnsi="Times New Roman" w:eastAsia="仿宋_GB2312"/>
          <w:szCs w:val="28"/>
          <w:lang w:val="en-US"/>
        </w:rPr>
        <w:t>协调与评审</w:t>
      </w:r>
      <w:bookmarkEnd w:id="16"/>
    </w:p>
    <w:p>
      <w:pPr>
        <w:spacing w:line="360" w:lineRule="auto"/>
        <w:ind w:firstLine="480" w:firstLineChars="200"/>
        <w:rPr>
          <w:rFonts w:hint="eastAsia" w:ascii="Times New Roman" w:hAnsi="Times New Roman" w:cs="Times New Roman" w:eastAsiaTheme="minorEastAsia"/>
          <w:color w:val="FF0000"/>
          <w:sz w:val="24"/>
          <w:szCs w:val="24"/>
          <w:lang w:val="en-US" w:eastAsia="zh-CN"/>
        </w:rPr>
      </w:pPr>
      <w:r>
        <w:rPr>
          <w:rFonts w:ascii="Times New Roman" w:hAnsi="Times New Roman" w:cs="Times New Roman"/>
          <w:sz w:val="24"/>
          <w:szCs w:val="24"/>
        </w:rPr>
        <w:t>规划报告印发</w:t>
      </w:r>
      <w:r>
        <w:rPr>
          <w:rFonts w:hint="eastAsia" w:ascii="Times New Roman" w:hAnsi="Times New Roman" w:cs="Times New Roman"/>
          <w:sz w:val="24"/>
          <w:szCs w:val="24"/>
        </w:rPr>
        <w:t>海阳市国土、港航、水利、海事、法制办等各</w:t>
      </w:r>
      <w:r>
        <w:rPr>
          <w:rFonts w:ascii="Times New Roman" w:hAnsi="Times New Roman" w:cs="Times New Roman"/>
          <w:sz w:val="24"/>
          <w:szCs w:val="24"/>
        </w:rPr>
        <w:t>有关部门广泛征求了意见，按照有关建议和意见做了进一步修改补充，形成了规划报告</w:t>
      </w:r>
      <w:r>
        <w:rPr>
          <w:rFonts w:hint="eastAsia" w:ascii="Times New Roman" w:hAnsi="Times New Roman" w:cs="Times New Roman"/>
          <w:sz w:val="24"/>
          <w:szCs w:val="24"/>
        </w:rPr>
        <w:t>、登记表、编制说明和</w:t>
      </w:r>
      <w:r>
        <w:rPr>
          <w:rFonts w:ascii="Times New Roman" w:hAnsi="Times New Roman" w:cs="Times New Roman"/>
          <w:sz w:val="24"/>
          <w:szCs w:val="24"/>
        </w:rPr>
        <w:t>区划图。2018年10月，规划成果通过了</w:t>
      </w:r>
      <w:r>
        <w:rPr>
          <w:rFonts w:hint="eastAsia" w:ascii="Times New Roman" w:hAnsi="Times New Roman" w:cs="Times New Roman"/>
          <w:sz w:val="24"/>
          <w:szCs w:val="24"/>
        </w:rPr>
        <w:t>海阳市人民政府组织</w:t>
      </w:r>
      <w:r>
        <w:rPr>
          <w:rFonts w:ascii="Times New Roman" w:hAnsi="Times New Roman" w:cs="Times New Roman"/>
          <w:sz w:val="24"/>
          <w:szCs w:val="24"/>
        </w:rPr>
        <w:t>的专家评审。之后，按照专家评审意见做了进一步修改补充。</w:t>
      </w:r>
      <w:r>
        <w:rPr>
          <w:rFonts w:hint="eastAsia" w:ascii="Times New Roman" w:hAnsi="Times New Roman" w:cs="Times New Roman"/>
          <w:color w:val="FF0000"/>
          <w:sz w:val="24"/>
          <w:szCs w:val="24"/>
          <w:lang w:val="en-US" w:eastAsia="zh-CN"/>
        </w:rPr>
        <w:t>2021年根据上级有关规划进行了进一步修改补充。</w:t>
      </w:r>
    </w:p>
    <w:p>
      <w:pPr>
        <w:pStyle w:val="3"/>
        <w:tabs>
          <w:tab w:val="left" w:pos="3450"/>
        </w:tabs>
        <w:spacing w:before="60" w:after="60"/>
        <w:rPr>
          <w:rFonts w:ascii="Times New Roman" w:hAnsi="Times New Roman" w:eastAsia="仿宋_GB2312"/>
          <w:szCs w:val="28"/>
          <w:lang w:val="en-US" w:eastAsia="zh-CN"/>
        </w:rPr>
      </w:pPr>
      <w:bookmarkStart w:id="17" w:name="_Toc488925182"/>
      <w:r>
        <w:rPr>
          <w:rFonts w:ascii="Times New Roman" w:hAnsi="Times New Roman" w:eastAsia="仿宋_GB2312"/>
          <w:szCs w:val="28"/>
        </w:rPr>
        <w:t>（</w:t>
      </w:r>
      <w:r>
        <w:rPr>
          <w:rFonts w:ascii="Times New Roman" w:hAnsi="Times New Roman" w:eastAsia="仿宋_GB2312"/>
          <w:szCs w:val="28"/>
          <w:lang w:eastAsia="zh-CN"/>
        </w:rPr>
        <w:t>五</w:t>
      </w:r>
      <w:r>
        <w:rPr>
          <w:rFonts w:ascii="Times New Roman" w:hAnsi="Times New Roman" w:eastAsia="仿宋_GB2312"/>
          <w:szCs w:val="28"/>
        </w:rPr>
        <w:t>）</w:t>
      </w:r>
      <w:r>
        <w:rPr>
          <w:rFonts w:ascii="Times New Roman" w:hAnsi="Times New Roman" w:eastAsia="仿宋_GB2312"/>
          <w:szCs w:val="28"/>
          <w:lang w:val="en-US" w:eastAsia="zh-CN"/>
        </w:rPr>
        <w:t>规划成果</w:t>
      </w:r>
      <w:bookmarkEnd w:id="17"/>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规划成果包括</w:t>
      </w:r>
      <w:r>
        <w:rPr>
          <w:rFonts w:hint="eastAsia" w:ascii="Times New Roman" w:hAnsi="Times New Roman" w:cs="Times New Roman"/>
          <w:sz w:val="24"/>
          <w:szCs w:val="24"/>
        </w:rPr>
        <w:t>海阳市</w:t>
      </w:r>
      <w:r>
        <w:rPr>
          <w:rFonts w:ascii="Times New Roman" w:hAnsi="Times New Roman" w:cs="Times New Roman"/>
          <w:sz w:val="24"/>
          <w:szCs w:val="24"/>
        </w:rPr>
        <w:t>养殖水域滩涂规划报告文本</w:t>
      </w:r>
      <w:r>
        <w:rPr>
          <w:rFonts w:hint="eastAsia" w:ascii="Times New Roman" w:hAnsi="Times New Roman" w:cs="Times New Roman"/>
          <w:sz w:val="24"/>
          <w:szCs w:val="24"/>
        </w:rPr>
        <w:t>1份</w:t>
      </w:r>
      <w:r>
        <w:rPr>
          <w:rFonts w:ascii="Times New Roman" w:hAnsi="Times New Roman" w:cs="Times New Roman"/>
          <w:sz w:val="24"/>
          <w:szCs w:val="24"/>
        </w:rPr>
        <w:t>、</w:t>
      </w:r>
      <w:r>
        <w:rPr>
          <w:rFonts w:hint="eastAsia" w:ascii="Times New Roman" w:hAnsi="Times New Roman" w:cs="Times New Roman"/>
          <w:sz w:val="24"/>
          <w:szCs w:val="24"/>
        </w:rPr>
        <w:t>海阳市</w:t>
      </w:r>
      <w:r>
        <w:rPr>
          <w:rFonts w:ascii="Times New Roman" w:hAnsi="Times New Roman" w:cs="Times New Roman"/>
          <w:sz w:val="24"/>
          <w:szCs w:val="24"/>
        </w:rPr>
        <w:t>养殖水域滩涂规划登记表</w:t>
      </w:r>
      <w:r>
        <w:rPr>
          <w:rFonts w:hint="eastAsia" w:ascii="Times New Roman" w:hAnsi="Times New Roman" w:cs="Times New Roman"/>
          <w:sz w:val="24"/>
          <w:szCs w:val="24"/>
        </w:rPr>
        <w:t>1份</w:t>
      </w:r>
      <w:r>
        <w:rPr>
          <w:rFonts w:ascii="Times New Roman" w:hAnsi="Times New Roman" w:cs="Times New Roman"/>
          <w:sz w:val="24"/>
          <w:szCs w:val="24"/>
        </w:rPr>
        <w:t>、</w:t>
      </w:r>
      <w:r>
        <w:rPr>
          <w:rFonts w:hint="eastAsia" w:ascii="Times New Roman" w:hAnsi="Times New Roman" w:cs="Times New Roman"/>
          <w:sz w:val="24"/>
          <w:szCs w:val="24"/>
        </w:rPr>
        <w:t>海阳市</w:t>
      </w:r>
      <w:r>
        <w:rPr>
          <w:rFonts w:ascii="Times New Roman" w:hAnsi="Times New Roman" w:cs="Times New Roman"/>
          <w:sz w:val="24"/>
          <w:szCs w:val="24"/>
        </w:rPr>
        <w:t>养殖水域滩涂规划图件</w:t>
      </w:r>
      <w:r>
        <w:rPr>
          <w:rFonts w:hint="eastAsia" w:ascii="Times New Roman" w:hAnsi="Times New Roman" w:cs="Times New Roman"/>
          <w:sz w:val="24"/>
          <w:szCs w:val="24"/>
        </w:rPr>
        <w:t>1套</w:t>
      </w:r>
      <w:r>
        <w:rPr>
          <w:rFonts w:ascii="Times New Roman" w:hAnsi="Times New Roman" w:cs="Times New Roman"/>
          <w:sz w:val="24"/>
          <w:szCs w:val="24"/>
        </w:rPr>
        <w:t>。</w:t>
      </w:r>
    </w:p>
    <w:p>
      <w:pPr>
        <w:pStyle w:val="8"/>
        <w:spacing w:before="60" w:line="360" w:lineRule="auto"/>
        <w:jc w:val="both"/>
        <w:rPr>
          <w:rFonts w:ascii="Times New Roman" w:hAnsi="Times New Roman" w:eastAsia="仿宋_GB2312"/>
          <w:szCs w:val="32"/>
        </w:rPr>
      </w:pPr>
      <w:bookmarkStart w:id="18" w:name="_Toc488925183"/>
      <w:r>
        <w:rPr>
          <w:rFonts w:ascii="Times New Roman" w:hAnsi="Times New Roman" w:eastAsia="仿宋_GB2312"/>
          <w:szCs w:val="32"/>
          <w:lang w:eastAsia="zh-CN"/>
        </w:rPr>
        <w:t>四</w:t>
      </w:r>
      <w:r>
        <w:rPr>
          <w:rFonts w:ascii="Times New Roman" w:hAnsi="Times New Roman" w:eastAsia="仿宋_GB2312"/>
          <w:szCs w:val="32"/>
        </w:rPr>
        <w:t>、</w:t>
      </w:r>
      <w:r>
        <w:rPr>
          <w:rFonts w:ascii="Times New Roman" w:hAnsi="Times New Roman" w:eastAsia="仿宋_GB2312"/>
          <w:szCs w:val="32"/>
          <w:lang w:eastAsia="zh-CN"/>
        </w:rPr>
        <w:t>几个</w:t>
      </w:r>
      <w:r>
        <w:rPr>
          <w:rFonts w:ascii="Times New Roman" w:hAnsi="Times New Roman" w:eastAsia="仿宋_GB2312"/>
          <w:szCs w:val="32"/>
        </w:rPr>
        <w:t>具体问题的说明</w:t>
      </w:r>
      <w:bookmarkEnd w:id="18"/>
    </w:p>
    <w:p>
      <w:pPr>
        <w:pStyle w:val="3"/>
        <w:tabs>
          <w:tab w:val="left" w:pos="3450"/>
        </w:tabs>
        <w:spacing w:before="60" w:after="60"/>
        <w:rPr>
          <w:rFonts w:ascii="Times New Roman" w:hAnsi="Times New Roman" w:eastAsia="仿宋_GB2312"/>
          <w:bCs/>
          <w:szCs w:val="28"/>
          <w:lang w:val="en-US" w:eastAsia="zh-CN"/>
        </w:rPr>
      </w:pPr>
      <w:bookmarkStart w:id="19" w:name="_Toc488925184"/>
      <w:r>
        <w:rPr>
          <w:rFonts w:ascii="Times New Roman" w:hAnsi="Times New Roman" w:eastAsia="仿宋_GB2312"/>
          <w:szCs w:val="28"/>
        </w:rPr>
        <w:t>（</w:t>
      </w:r>
      <w:r>
        <w:rPr>
          <w:rFonts w:ascii="Times New Roman" w:hAnsi="Times New Roman" w:eastAsia="仿宋_GB2312"/>
          <w:szCs w:val="28"/>
          <w:lang w:eastAsia="zh-CN"/>
        </w:rPr>
        <w:t>一</w:t>
      </w:r>
      <w:r>
        <w:rPr>
          <w:rFonts w:ascii="Times New Roman" w:hAnsi="Times New Roman" w:eastAsia="仿宋_GB2312"/>
          <w:szCs w:val="28"/>
        </w:rPr>
        <w:t>）</w:t>
      </w:r>
      <w:bookmarkEnd w:id="19"/>
      <w:r>
        <w:rPr>
          <w:rFonts w:ascii="Times New Roman" w:hAnsi="Times New Roman" w:eastAsia="仿宋_GB2312"/>
          <w:bCs/>
          <w:szCs w:val="28"/>
        </w:rPr>
        <w:t>养殖水域滩涂功能区的</w:t>
      </w:r>
      <w:r>
        <w:rPr>
          <w:rFonts w:hint="eastAsia" w:ascii="Times New Roman" w:hAnsi="Times New Roman" w:eastAsia="仿宋_GB2312"/>
          <w:bCs/>
          <w:szCs w:val="28"/>
        </w:rPr>
        <w:t>划分方法</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滩涂一般多指沿海滩涂。海洋行政主管部门将滩涂界定为平均高潮线以下低潮线以上的海域，国土资源管理部门将沿海滩涂界定为沿海大潮高潮位与低潮位之间的潮浸地带。滩涂养殖是海洋水产业之一，指利用位于海边潮间带的软泥或沙泥地带加以平整，筑堤、建坝等进行海水养殖。滩涂养殖指利用潮间带和低潮线以内的水域，直接或经整治、改造后从事海水养殖、增殖和护养、管养、栽培。通常直接利用滩涂进行养殖的，以贝类（如贻贝、扇贝、蛤、牡蛎、泥蚶、缢蛏等）、海藻类（如海带、紫菜等）为主；经整治或改造后建成潮差式、半封闭式或封闭式的鱼塭（亦称鱼港）进行养殖的，以鱼（如鲻鱼、梭鱼、鲷鱼、石斑鱼、鲳鱼、鳗鱼、遮目鱼、非洲鲫鱼等）、虾类（如对虾）居多。</w:t>
      </w:r>
    </w:p>
    <w:p>
      <w:pPr>
        <w:spacing w:line="360" w:lineRule="auto"/>
        <w:ind w:firstLine="480" w:firstLineChars="200"/>
        <w:rPr>
          <w:rFonts w:ascii="Times New Roman" w:hAnsi="Times New Roman" w:cs="Times New Roman"/>
          <w:sz w:val="24"/>
          <w:szCs w:val="24"/>
        </w:rPr>
      </w:pPr>
      <w:bookmarkStart w:id="20" w:name="_Hlk23930986"/>
      <w:bookmarkStart w:id="21" w:name="_Toc488925185"/>
      <w:r>
        <w:rPr>
          <w:rFonts w:hint="eastAsia" w:ascii="Times New Roman" w:hAnsi="Times New Roman" w:cs="Times New Roman"/>
          <w:sz w:val="24"/>
          <w:szCs w:val="24"/>
        </w:rPr>
        <w:t>根据《中华人民共和国海域使用管理法》、《中华人民共和国渔业法》、《中华人民共和国航道法》以及《中共中央国务院关于加快推进生态文明建设的意见》、《山东省海洋功能区划》、《山东省海洋生态红线》等有关法律、规定，结合实际情况，按照是否允许养殖开发以及可承受的开发强度，将海阳养殖水域滩涂功能区划分为禁止养殖区、限制养殖区和养殖区。</w:t>
      </w:r>
      <w:bookmarkEnd w:id="20"/>
    </w:p>
    <w:p>
      <w:pPr>
        <w:spacing w:line="360" w:lineRule="auto"/>
        <w:ind w:firstLine="482" w:firstLineChars="200"/>
        <w:rPr>
          <w:rFonts w:ascii="Times New Roman" w:hAnsi="Times New Roman" w:cs="Times New Roman"/>
          <w:b/>
          <w:bCs/>
          <w:sz w:val="24"/>
          <w:szCs w:val="24"/>
        </w:rPr>
      </w:pPr>
      <w:bookmarkStart w:id="22" w:name="_Hlk23930943"/>
      <w:r>
        <w:rPr>
          <w:rFonts w:hint="eastAsia" w:ascii="Times New Roman" w:hAnsi="Times New Roman" w:cs="Times New Roman"/>
          <w:b/>
          <w:bCs/>
          <w:sz w:val="24"/>
          <w:szCs w:val="24"/>
        </w:rPr>
        <w:t>1、</w:t>
      </w:r>
      <w:r>
        <w:rPr>
          <w:rFonts w:hint="eastAsia" w:ascii="Times New Roman" w:hAnsi="Times New Roman" w:cs="Times New Roman"/>
          <w:b/>
          <w:bCs/>
          <w:color w:val="FF0000"/>
          <w:sz w:val="24"/>
          <w:szCs w:val="24"/>
        </w:rPr>
        <w:t>禁止养殖区边界划定方法</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（1）海水禁止养殖区划分方法</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①保护区禁止养殖区：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a.自然保护区禁止养殖区：在已审批自然保护区范围内，自然保护区的核心区和缓冲区两部分。</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b.海洋特别保护区禁止养殖区：在已审批海洋特别保护区范围内，海洋特别保护区的重点保护区和预留区两部分。</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c.国家级水产种质资源保护区禁止养殖区：在已审批国家级水产种质资源保护区范围内，保护区的核心区。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②重点生态功能区禁止养殖区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a.重要河口生态系统禁止养殖区：原则上根据自然地形地貌分界范围确定，实际采用海域等深线的位置确定，向陆至省政府批准的海岸线，向海一般至2米等深线。</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b.重要滨海湿地禁止养殖区：自岸线向海延伸3.5海里或6米等深线内的区域。</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c.重要砂质岸线及邻近海域禁止养殖区：砂质岸滩和沙源海域向陆一侧至省政府批复的海岸线，向海一侧莱州湾内以5米等深线为准，莱州湾外以10米等深线为准。</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③港口与工业用海区禁止养殖区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a.工业与城镇用海禁止养殖区：适于发展临海工业与滨海城镇的海域，包括工业用海区和城镇用海区。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b.港口航运区禁止养殖区：适于开发利用港口航运资源，可供港口、航道和锚地建设的海域，包括港口区、航道区和锚地区。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④景观遗迹与旅游休闲区禁止养殖区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a.自然景观与历史文化遗迹禁止养殖区：自然景观与历史文化遗迹海域的向陆至省政府批准的海岸线，向海至离岸约1海里的区域，包括自然景观和历史文化遗迹。</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b.旅游休闲娱乐区禁止养殖区：适于开发利用滨海和海上旅游资源，可供旅游景区开发和海上文体娱乐活动场所建设的海域，从海岸线至10米等深线以内的海域。包括风景旅游区和文体休闲娱乐区。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c.城市核心区离岸海区禁止养殖区：城市核心区向海至离岸约1000米的区域。</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⑤水质超标区禁止养殖区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水质超标的海区，包括污水达标排放、倾废区、重金属和有机污染物超标等海区。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（2）淡水禁止养殖区划分方法</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①保护区禁止养殖区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w:t>
      </w:r>
      <w:r>
        <w:rPr>
          <w:rFonts w:ascii="Times New Roman" w:hAnsi="Times New Roman" w:cs="Times New Roman"/>
          <w:sz w:val="24"/>
          <w:szCs w:val="24"/>
        </w:rPr>
        <w:t>.</w:t>
      </w:r>
      <w:r>
        <w:rPr>
          <w:rFonts w:hint="eastAsia" w:ascii="Times New Roman" w:hAnsi="Times New Roman" w:cs="Times New Roman"/>
          <w:sz w:val="24"/>
          <w:szCs w:val="24"/>
        </w:rPr>
        <w:t>饮用水水源地保护区禁止养殖区：已划定的饮用水水源地一级保护区范围。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w:t>
      </w:r>
      <w:r>
        <w:rPr>
          <w:rFonts w:ascii="Times New Roman" w:hAnsi="Times New Roman" w:cs="Times New Roman"/>
          <w:sz w:val="24"/>
          <w:szCs w:val="24"/>
        </w:rPr>
        <w:t>.</w:t>
      </w:r>
      <w:r>
        <w:rPr>
          <w:rFonts w:hint="eastAsia" w:ascii="Times New Roman" w:hAnsi="Times New Roman" w:cs="Times New Roman"/>
          <w:sz w:val="24"/>
          <w:szCs w:val="24"/>
        </w:rPr>
        <w:t>自然保护区禁止养殖区：已审批自然保护区范围内，包括核心区和缓冲区两部分。</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w:t>
      </w:r>
      <w:r>
        <w:rPr>
          <w:rFonts w:hint="eastAsia" w:ascii="Times New Roman" w:hAnsi="Times New Roman" w:cs="Times New Roman"/>
          <w:sz w:val="24"/>
          <w:szCs w:val="24"/>
        </w:rPr>
        <w:t>国家级水产种质资源保护区禁止养殖区：已审批国家级水产种质资源保护区范围内保护区的核心区。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②重要生态功能区禁止养殖区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w:t>
      </w:r>
      <w:r>
        <w:rPr>
          <w:rFonts w:ascii="Times New Roman" w:hAnsi="Times New Roman" w:cs="Times New Roman"/>
          <w:sz w:val="24"/>
          <w:szCs w:val="24"/>
        </w:rPr>
        <w:t>.</w:t>
      </w:r>
      <w:r>
        <w:rPr>
          <w:rFonts w:hint="eastAsia" w:ascii="Times New Roman" w:hAnsi="Times New Roman" w:cs="Times New Roman"/>
          <w:sz w:val="24"/>
          <w:szCs w:val="24"/>
        </w:rPr>
        <w:t>重点湖泊禁止养殖区：保护区之外的其他Ⅰ类红线保护的湖泊或者有专项规定禁养的湖泊水域范围。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w:t>
      </w:r>
      <w:r>
        <w:rPr>
          <w:rFonts w:ascii="Times New Roman" w:hAnsi="Times New Roman" w:cs="Times New Roman"/>
          <w:sz w:val="24"/>
          <w:szCs w:val="24"/>
        </w:rPr>
        <w:t>.</w:t>
      </w:r>
      <w:r>
        <w:rPr>
          <w:rFonts w:hint="eastAsia" w:ascii="Times New Roman" w:hAnsi="Times New Roman" w:cs="Times New Roman"/>
          <w:sz w:val="24"/>
          <w:szCs w:val="24"/>
        </w:rPr>
        <w:t>重点水库禁止养殖区：保护区之外的其他Ⅰ类红线保护的水库或者有专项规定禁养的水库水域范围。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w:t>
      </w:r>
      <w:r>
        <w:rPr>
          <w:rFonts w:hint="eastAsia" w:ascii="Times New Roman" w:hAnsi="Times New Roman" w:cs="Times New Roman"/>
          <w:sz w:val="24"/>
          <w:szCs w:val="24"/>
        </w:rPr>
        <w:t>河流禁止养殖区：常年不断流的河流水域范围。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d</w:t>
      </w:r>
      <w:r>
        <w:rPr>
          <w:rFonts w:ascii="Times New Roman" w:hAnsi="Times New Roman" w:cs="Times New Roman"/>
          <w:sz w:val="24"/>
          <w:szCs w:val="24"/>
        </w:rPr>
        <w:t>.</w:t>
      </w:r>
      <w:r>
        <w:rPr>
          <w:rFonts w:hint="eastAsia" w:ascii="Times New Roman" w:hAnsi="Times New Roman" w:cs="Times New Roman"/>
          <w:sz w:val="24"/>
          <w:szCs w:val="24"/>
        </w:rPr>
        <w:t>湿地禁止养殖区：保护区、湖泊、河流之外的其他湿地保护范围。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③公共设施安全区域禁止养殖区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w:t>
      </w:r>
      <w:r>
        <w:rPr>
          <w:rFonts w:ascii="Times New Roman" w:hAnsi="Times New Roman" w:cs="Times New Roman"/>
          <w:sz w:val="24"/>
          <w:szCs w:val="24"/>
        </w:rPr>
        <w:t>.</w:t>
      </w:r>
      <w:r>
        <w:rPr>
          <w:rFonts w:hint="eastAsia" w:ascii="Times New Roman" w:hAnsi="Times New Roman" w:cs="Times New Roman"/>
          <w:sz w:val="24"/>
          <w:szCs w:val="24"/>
        </w:rPr>
        <w:t>港口航道禁止养殖区：已建成的内陆港区、已通航内河航道、已规划的内陆港区和内河航道范围。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w:t>
      </w:r>
      <w:r>
        <w:rPr>
          <w:rFonts w:ascii="Times New Roman" w:hAnsi="Times New Roman" w:cs="Times New Roman"/>
          <w:sz w:val="24"/>
          <w:szCs w:val="24"/>
        </w:rPr>
        <w:t>.</w:t>
      </w:r>
      <w:r>
        <w:rPr>
          <w:rFonts w:hint="eastAsia" w:ascii="Times New Roman" w:hAnsi="Times New Roman" w:cs="Times New Roman"/>
          <w:sz w:val="24"/>
          <w:szCs w:val="24"/>
        </w:rPr>
        <w:t>河道堤防安全保护区禁止养殖区：河道堤防安全保护区范围。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④风景名胜区禁止养殖区：已划定的风景名胜区范围内水域。</w:t>
      </w:r>
    </w:p>
    <w:p>
      <w:pPr>
        <w:spacing w:line="360" w:lineRule="auto"/>
        <w:ind w:firstLine="482" w:firstLineChars="200"/>
        <w:rPr>
          <w:rFonts w:ascii="Times New Roman" w:hAnsi="Times New Roman" w:cs="Times New Roman"/>
          <w:b/>
          <w:bCs/>
          <w:sz w:val="24"/>
          <w:szCs w:val="24"/>
        </w:rPr>
      </w:pPr>
      <w:r>
        <w:rPr>
          <w:rFonts w:hint="eastAsia" w:ascii="Times New Roman" w:hAnsi="Times New Roman" w:cs="Times New Roman"/>
          <w:b/>
          <w:bCs/>
          <w:sz w:val="24"/>
          <w:szCs w:val="24"/>
        </w:rPr>
        <w:t>2、</w:t>
      </w:r>
      <w:r>
        <w:rPr>
          <w:rFonts w:hint="eastAsia" w:ascii="Times New Roman" w:hAnsi="Times New Roman" w:cs="Times New Roman"/>
          <w:b/>
          <w:bCs/>
          <w:color w:val="FF0000"/>
          <w:sz w:val="24"/>
          <w:szCs w:val="24"/>
        </w:rPr>
        <w:t>限制养殖区边界划定方法</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（1）海水限制养殖区划分方法</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①保护区限制养殖区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a.自然保护区限制养殖区：在已审批自然保护区范围内，自然保护区的实验区。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b.海洋特别保护区限制养殖区：在已审批海洋特别保护区范围内，海洋特别保护区的适度利用区和生态与资源恢复区。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c.国家级水产种质资源保护区限制养殖区：在已审批国家级水产种质资源保护区范围内，水产种质保护区的实验区。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②重点生态功能区限制养殖区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a.重要滨海湿地限制养殖区：自岸线向海延伸3.5海里或6米等深线内的区域。</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b.重要渔业海域限制养殖区：重要渔业资源的产卵场、索饵场、越冬场、洄游通道，依据相关技术资料确定其范围。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c.特殊保护海岛限制养殖区：以特殊保护海岛向海3.5海里内围成的区域。</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d.重要砂质岸线及邻近海域限制养殖区：砂质岸滩向陆一侧至省政府批复的海岸线，向海一侧莱州湾内以5米等深线为准，莱州湾外以10米等深线为准。</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③景观遗迹与旅游休闲区限制养殖区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a.自然景观与历史文化遗迹限制养殖区：自然景观与历史文化遗迹海域的向陆至省政府批准的海岸线，向海至离岸约1海里的区域，包括自然景观和历史文化遗迹。</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b.旅游休闲娱乐区限制养殖区：适于开发利用滨海和海上旅游资源，可供旅游景区开发和海上文体娱乐活动场所建设的海域，从海岸线至10米等深线以内的海域。包括风景旅游区和文体休闲娱乐区。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④矿产与能源区限制养殖区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适于开发利用矿产资源与海上能源，可供油气和固体矿产等勘探、开采作业，以及盐田和再生能源等开发利用的海域，包括油气区、固体矿产区、盐田区和可再生能源区。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⑤保留区限制养殖区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为保留养殖水域滩涂后备空间资源，专门划定的在区划期限内限制养殖的海域，规划期内维持现状。针对本项目，主要涉及</w:t>
      </w:r>
      <w:r>
        <w:rPr>
          <w:rFonts w:ascii="Times New Roman" w:hAnsi="Times New Roman" w:cs="Times New Roman"/>
          <w:sz w:val="24"/>
          <w:szCs w:val="24"/>
        </w:rPr>
        <w:t>港口与工业用海区</w:t>
      </w:r>
      <w:r>
        <w:rPr>
          <w:rFonts w:hint="eastAsia" w:ascii="Times New Roman" w:hAnsi="Times New Roman" w:cs="Times New Roman"/>
          <w:sz w:val="24"/>
          <w:szCs w:val="24"/>
        </w:rPr>
        <w:t>限制</w:t>
      </w:r>
      <w:r>
        <w:rPr>
          <w:rFonts w:ascii="Times New Roman" w:hAnsi="Times New Roman" w:cs="Times New Roman"/>
          <w:sz w:val="24"/>
          <w:szCs w:val="24"/>
        </w:rPr>
        <w:t>养殖区</w:t>
      </w:r>
      <w:r>
        <w:rPr>
          <w:rFonts w:hint="eastAsia"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（2）淡水限制养殖区划分方法</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①保护区限制养殖区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w:t>
      </w:r>
      <w:r>
        <w:rPr>
          <w:rFonts w:ascii="Times New Roman" w:hAnsi="Times New Roman" w:cs="Times New Roman"/>
          <w:sz w:val="24"/>
          <w:szCs w:val="24"/>
        </w:rPr>
        <w:t>.</w:t>
      </w:r>
      <w:r>
        <w:rPr>
          <w:rFonts w:hint="eastAsia" w:ascii="Times New Roman" w:hAnsi="Times New Roman" w:cs="Times New Roman"/>
          <w:sz w:val="24"/>
          <w:szCs w:val="24"/>
        </w:rPr>
        <w:t>饮用水水源地保护区限制养殖区：已划定的饮用水水源地二级保护区范围。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w:t>
      </w:r>
      <w:r>
        <w:rPr>
          <w:rFonts w:ascii="Times New Roman" w:hAnsi="Times New Roman" w:cs="Times New Roman"/>
          <w:sz w:val="24"/>
          <w:szCs w:val="24"/>
        </w:rPr>
        <w:t>.</w:t>
      </w:r>
      <w:r>
        <w:rPr>
          <w:rFonts w:hint="eastAsia" w:ascii="Times New Roman" w:hAnsi="Times New Roman" w:cs="Times New Roman"/>
          <w:sz w:val="24"/>
          <w:szCs w:val="24"/>
        </w:rPr>
        <w:t>自然保护区限制养殖区：已审批自然保护区范围内实验区和外围保护地带。</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w:t>
      </w:r>
      <w:r>
        <w:rPr>
          <w:rFonts w:hint="eastAsia" w:ascii="Times New Roman" w:hAnsi="Times New Roman" w:cs="Times New Roman"/>
          <w:sz w:val="24"/>
          <w:szCs w:val="24"/>
        </w:rPr>
        <w:t>国家级水产种质资源保护区限制养殖区：已审批国家级水产种质资源保护区范围内实验区部分。</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②风景名胜区限养区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③重要生态功能区限制养殖区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a</w:t>
      </w:r>
      <w:r>
        <w:rPr>
          <w:rFonts w:ascii="Times New Roman" w:hAnsi="Times New Roman" w:cs="Times New Roman"/>
          <w:sz w:val="24"/>
          <w:szCs w:val="24"/>
        </w:rPr>
        <w:t>.</w:t>
      </w:r>
      <w:r>
        <w:rPr>
          <w:rFonts w:hint="eastAsia" w:ascii="Times New Roman" w:hAnsi="Times New Roman" w:cs="Times New Roman"/>
          <w:sz w:val="24"/>
          <w:szCs w:val="24"/>
        </w:rPr>
        <w:t>湖泊限制养殖区：除涉及保护区和I类红线保护之外的湖泊水域范围。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b</w:t>
      </w:r>
      <w:r>
        <w:rPr>
          <w:rFonts w:ascii="Times New Roman" w:hAnsi="Times New Roman" w:cs="Times New Roman"/>
          <w:sz w:val="24"/>
          <w:szCs w:val="24"/>
        </w:rPr>
        <w:t>.</w:t>
      </w:r>
      <w:r>
        <w:rPr>
          <w:rFonts w:hint="eastAsia" w:ascii="Times New Roman" w:hAnsi="Times New Roman" w:cs="Times New Roman"/>
          <w:sz w:val="24"/>
          <w:szCs w:val="24"/>
        </w:rPr>
        <w:t>水库限制养殖区：除涉及保护区和I类红线保护之外的水库水域范围。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w:t>
      </w:r>
      <w:r>
        <w:rPr>
          <w:rFonts w:hint="eastAsia" w:ascii="Times New Roman" w:hAnsi="Times New Roman" w:cs="Times New Roman"/>
          <w:sz w:val="24"/>
          <w:szCs w:val="24"/>
        </w:rPr>
        <w:t>河流限养区</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d</w:t>
      </w:r>
      <w:r>
        <w:rPr>
          <w:rFonts w:ascii="Times New Roman" w:hAnsi="Times New Roman" w:cs="Times New Roman"/>
          <w:sz w:val="24"/>
          <w:szCs w:val="24"/>
        </w:rPr>
        <w:t>.</w:t>
      </w:r>
      <w:r>
        <w:rPr>
          <w:rFonts w:hint="eastAsia" w:ascii="Times New Roman" w:hAnsi="Times New Roman" w:cs="Times New Roman"/>
          <w:sz w:val="24"/>
          <w:szCs w:val="24"/>
        </w:rPr>
        <w:t>湿地限养区</w:t>
      </w:r>
    </w:p>
    <w:p>
      <w:pPr>
        <w:spacing w:line="360" w:lineRule="auto"/>
        <w:ind w:firstLine="482" w:firstLineChars="200"/>
        <w:rPr>
          <w:rFonts w:ascii="Times New Roman" w:hAnsi="Times New Roman" w:cs="Times New Roman"/>
          <w:b/>
          <w:bCs/>
          <w:sz w:val="24"/>
          <w:szCs w:val="24"/>
        </w:rPr>
      </w:pPr>
      <w:r>
        <w:rPr>
          <w:rFonts w:hint="eastAsia" w:ascii="Times New Roman" w:hAnsi="Times New Roman" w:cs="Times New Roman"/>
          <w:b/>
          <w:bCs/>
          <w:sz w:val="24"/>
          <w:szCs w:val="24"/>
        </w:rPr>
        <w:t>3、养殖区边界划定方法</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养殖区指境内所属水域禁止养殖区和限制养殖区以外的水域。海水养殖区，包括海上养殖区和陆地养殖区。海上养殖指底播养殖、筏式养殖和网箱养殖等，陆地养殖包括海水池塘养殖、工厂化养殖等。淡水养殖区，包括池塘养殖、工厂化养殖、稻田综合种养、采矿塌陷地养殖、盐碱地养殖等</w:t>
      </w:r>
      <w:r>
        <w:rPr>
          <w:rFonts w:ascii="Times New Roman" w:hAnsi="Times New Roman" w:cs="Times New Roman"/>
          <w:sz w:val="24"/>
          <w:szCs w:val="24"/>
        </w:rPr>
        <w:t>。</w:t>
      </w:r>
    </w:p>
    <w:bookmarkEnd w:id="22"/>
    <w:p>
      <w:pPr>
        <w:pStyle w:val="3"/>
        <w:tabs>
          <w:tab w:val="left" w:pos="3450"/>
        </w:tabs>
        <w:spacing w:before="60" w:after="60"/>
        <w:rPr>
          <w:rFonts w:ascii="Times New Roman" w:hAnsi="Times New Roman" w:eastAsia="仿宋_GB2312"/>
          <w:szCs w:val="28"/>
          <w:lang w:val="en-US" w:eastAsia="zh-CN"/>
        </w:rPr>
      </w:pPr>
      <w:r>
        <w:rPr>
          <w:rFonts w:ascii="Times New Roman" w:hAnsi="Times New Roman" w:eastAsia="仿宋_GB2312"/>
          <w:szCs w:val="28"/>
        </w:rPr>
        <w:t>（</w:t>
      </w:r>
      <w:r>
        <w:rPr>
          <w:rFonts w:ascii="Times New Roman" w:hAnsi="Times New Roman" w:eastAsia="仿宋_GB2312"/>
          <w:szCs w:val="28"/>
          <w:lang w:eastAsia="zh-CN"/>
        </w:rPr>
        <w:t>二</w:t>
      </w:r>
      <w:r>
        <w:rPr>
          <w:rFonts w:ascii="Times New Roman" w:hAnsi="Times New Roman" w:eastAsia="仿宋_GB2312"/>
          <w:szCs w:val="28"/>
        </w:rPr>
        <w:t>）养殖水域滩涂</w:t>
      </w:r>
      <w:r>
        <w:rPr>
          <w:rFonts w:ascii="Times New Roman" w:hAnsi="Times New Roman" w:eastAsia="仿宋_GB2312"/>
          <w:szCs w:val="28"/>
          <w:lang w:val="en-US" w:eastAsia="zh-CN"/>
        </w:rPr>
        <w:t>功能区的使用用途管制</w:t>
      </w:r>
      <w:bookmarkEnd w:id="21"/>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规划是养殖水域滩涂使用管理的基本依据，养殖水域滩涂使用管理要严格依据规划开展，严格限制擅自改变养殖水域滩涂使用用途的行为。在规划范围外，不得新建及改扩建养殖项目。其他生态保护或工程建设项目占用规划内养殖水域滩涂的，必须征求渔业行政主管部门意见，按照有关要求对规划进行修订后实施，造成养殖生产者经济损失的应依法给予补偿。</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w:t>
      </w:r>
      <w:r>
        <w:rPr>
          <w:rFonts w:ascii="Times New Roman" w:hAnsi="Times New Roman" w:cs="Times New Roman"/>
          <w:sz w:val="24"/>
          <w:szCs w:val="24"/>
        </w:rPr>
        <w:t>禁止养殖区和限制养殖区的管理</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禁止养殖区内的水产养殖，由</w:t>
      </w:r>
      <w:r>
        <w:rPr>
          <w:rFonts w:hint="eastAsia" w:ascii="Times New Roman" w:hAnsi="Times New Roman" w:cs="Times New Roman"/>
          <w:sz w:val="24"/>
          <w:szCs w:val="24"/>
        </w:rPr>
        <w:t>海阳市</w:t>
      </w:r>
      <w:r>
        <w:rPr>
          <w:rFonts w:ascii="Times New Roman" w:hAnsi="Times New Roman" w:cs="Times New Roman"/>
          <w:sz w:val="24"/>
          <w:szCs w:val="24"/>
        </w:rPr>
        <w:t>人民政府及相关部门负责</w:t>
      </w:r>
      <w:r>
        <w:rPr>
          <w:rFonts w:hint="eastAsia" w:ascii="Times New Roman" w:hAnsi="Times New Roman" w:cs="Times New Roman"/>
          <w:sz w:val="24"/>
          <w:szCs w:val="24"/>
        </w:rPr>
        <w:t>整改</w:t>
      </w:r>
      <w:r>
        <w:rPr>
          <w:rFonts w:ascii="Times New Roman" w:hAnsi="Times New Roman" w:cs="Times New Roman"/>
          <w:sz w:val="24"/>
          <w:szCs w:val="24"/>
        </w:rPr>
        <w:t>。限制养殖区的水产养殖，污染物排放超过国家和地方规定的污染物排放标准的，限期整改，整改后仍不达标的，由</w:t>
      </w:r>
      <w:r>
        <w:rPr>
          <w:rFonts w:hint="eastAsia" w:ascii="Times New Roman" w:hAnsi="Times New Roman" w:cs="Times New Roman"/>
          <w:sz w:val="24"/>
          <w:szCs w:val="24"/>
        </w:rPr>
        <w:t>海阳市</w:t>
      </w:r>
      <w:r>
        <w:rPr>
          <w:rFonts w:ascii="Times New Roman" w:hAnsi="Times New Roman" w:cs="Times New Roman"/>
          <w:sz w:val="24"/>
          <w:szCs w:val="24"/>
        </w:rPr>
        <w:t>人民政府及相关部门负责</w:t>
      </w:r>
      <w:r>
        <w:rPr>
          <w:rFonts w:hint="eastAsia" w:ascii="Times New Roman" w:hAnsi="Times New Roman" w:cs="Times New Roman"/>
          <w:sz w:val="24"/>
          <w:szCs w:val="24"/>
        </w:rPr>
        <w:t>整改</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w:t>
      </w:r>
      <w:r>
        <w:rPr>
          <w:rFonts w:ascii="Times New Roman" w:hAnsi="Times New Roman" w:cs="Times New Roman"/>
          <w:sz w:val="24"/>
          <w:szCs w:val="24"/>
        </w:rPr>
        <w:t>养殖区管理</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养殖区内符合规划的养殖项目，应当科学确定养殖密度，合理投饵、使用药物，防止造成水域的环境污染，养殖生产应符合《水产养殖质量安全管理规定》的有关要求。完善全民所有养殖水域、滩涂使用审批，健全使用权的招拍挂等交易制度，推进集体所有养殖水域、滩涂承包经营权的确权工作，规范水域滩涂养殖发证登记工作。加强渔政执法，查处无证养殖，对非法侵占养殖水域滩涂行为进行处理，规范养殖水域滩涂开发利用秩序，强化社会监督。</w:t>
      </w:r>
    </w:p>
    <w:p>
      <w:pPr>
        <w:pStyle w:val="3"/>
        <w:tabs>
          <w:tab w:val="left" w:pos="3450"/>
        </w:tabs>
        <w:spacing w:before="60" w:after="60"/>
        <w:rPr>
          <w:rFonts w:ascii="Times New Roman" w:hAnsi="Times New Roman" w:eastAsia="仿宋_GB2312"/>
          <w:szCs w:val="28"/>
        </w:rPr>
      </w:pPr>
      <w:bookmarkStart w:id="23" w:name="_Toc488925186"/>
      <w:bookmarkStart w:id="24" w:name="OLE_LINK4"/>
      <w:bookmarkStart w:id="25" w:name="OLE_LINK5"/>
      <w:r>
        <w:rPr>
          <w:rFonts w:ascii="Times New Roman" w:hAnsi="Times New Roman" w:eastAsia="仿宋_GB2312"/>
          <w:szCs w:val="28"/>
        </w:rPr>
        <w:t>（</w:t>
      </w:r>
      <w:r>
        <w:rPr>
          <w:rFonts w:ascii="Times New Roman" w:hAnsi="Times New Roman" w:eastAsia="仿宋_GB2312"/>
          <w:szCs w:val="28"/>
          <w:lang w:eastAsia="zh-CN"/>
        </w:rPr>
        <w:t>三</w:t>
      </w:r>
      <w:r>
        <w:rPr>
          <w:rFonts w:ascii="Times New Roman" w:hAnsi="Times New Roman" w:eastAsia="仿宋_GB2312"/>
          <w:szCs w:val="28"/>
        </w:rPr>
        <w:t>）</w:t>
      </w:r>
      <w:r>
        <w:rPr>
          <w:rFonts w:ascii="Times New Roman" w:hAnsi="Times New Roman" w:eastAsia="仿宋_GB2312"/>
          <w:szCs w:val="28"/>
          <w:lang w:eastAsia="zh-CN"/>
        </w:rPr>
        <w:t>水域滩涂</w:t>
      </w:r>
      <w:r>
        <w:rPr>
          <w:rFonts w:hint="eastAsia" w:ascii="Times New Roman" w:hAnsi="Times New Roman" w:eastAsia="仿宋_GB2312"/>
          <w:szCs w:val="28"/>
          <w:lang w:eastAsia="zh-CN"/>
        </w:rPr>
        <w:t>养殖</w:t>
      </w:r>
      <w:r>
        <w:rPr>
          <w:rFonts w:ascii="Times New Roman" w:hAnsi="Times New Roman" w:eastAsia="仿宋_GB2312"/>
          <w:szCs w:val="28"/>
        </w:rPr>
        <w:t>承载力</w:t>
      </w:r>
      <w:r>
        <w:rPr>
          <w:rFonts w:ascii="Times New Roman" w:hAnsi="Times New Roman" w:eastAsia="仿宋_GB2312"/>
          <w:szCs w:val="28"/>
          <w:lang w:eastAsia="zh-CN"/>
        </w:rPr>
        <w:t>估算</w:t>
      </w:r>
      <w:r>
        <w:rPr>
          <w:rFonts w:ascii="Times New Roman" w:hAnsi="Times New Roman" w:eastAsia="仿宋_GB2312"/>
          <w:szCs w:val="28"/>
        </w:rPr>
        <w:t>方法</w:t>
      </w:r>
      <w:bookmarkEnd w:id="23"/>
    </w:p>
    <w:bookmarkEnd w:id="24"/>
    <w:bookmarkEnd w:id="25"/>
    <w:p>
      <w:pPr>
        <w:spacing w:line="360" w:lineRule="auto"/>
        <w:ind w:firstLine="482" w:firstLineChars="200"/>
        <w:rPr>
          <w:rFonts w:ascii="Times New Roman" w:hAnsi="Times New Roman" w:cs="Times New Roman"/>
          <w:b/>
          <w:sz w:val="24"/>
          <w:szCs w:val="24"/>
        </w:rPr>
      </w:pPr>
      <w:bookmarkStart w:id="26" w:name="OLE_LINK7"/>
      <w:bookmarkStart w:id="27" w:name="OLE_LINK6"/>
      <w:r>
        <w:rPr>
          <w:rFonts w:ascii="Times New Roman" w:hAnsi="Times New Roman" w:cs="Times New Roman"/>
          <w:b/>
          <w:sz w:val="24"/>
          <w:szCs w:val="24"/>
        </w:rPr>
        <w:t>1</w:t>
      </w:r>
      <w:r>
        <w:rPr>
          <w:rFonts w:hint="eastAsia" w:ascii="Times New Roman" w:hAnsi="Times New Roman" w:cs="Times New Roman"/>
          <w:b/>
          <w:sz w:val="24"/>
          <w:szCs w:val="24"/>
        </w:rPr>
        <w:t>、</w:t>
      </w:r>
      <w:r>
        <w:rPr>
          <w:rFonts w:ascii="Times New Roman" w:hAnsi="Times New Roman" w:cs="Times New Roman"/>
          <w:b/>
          <w:sz w:val="24"/>
          <w:szCs w:val="24"/>
        </w:rPr>
        <w:t>网箱养殖</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主要养殖对象为鱼类。</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根据</w:t>
      </w:r>
      <w:r>
        <w:rPr>
          <w:rFonts w:hint="eastAsia" w:ascii="Times New Roman" w:hAnsi="Times New Roman" w:cs="Times New Roman"/>
          <w:sz w:val="24"/>
          <w:szCs w:val="24"/>
        </w:rPr>
        <w:t>相关养殖规范方案</w:t>
      </w:r>
      <w:r>
        <w:rPr>
          <w:rFonts w:ascii="Times New Roman" w:hAnsi="Times New Roman" w:cs="Times New Roman"/>
          <w:sz w:val="24"/>
          <w:szCs w:val="24"/>
        </w:rPr>
        <w:t>要求，深水网箱用海，海域水深应在15米以上，单体网箱总面积占其项目用海域面积的比例应保持在8~10%。对于网箱养殖来说，饵料人工喂养，因此，在保证饵料充足的情况下，水体的体积、溶解氧的含量及养殖的密度决定了其养殖容量。</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普通网箱养殖苗种小时放养密度可以高些，随着鱼的生长应按个体大小分苗并降低放养密度。密度以预计在养成时，网箱鱼容量保持8～15kg/m</w:t>
      </w:r>
      <w:r>
        <w:rPr>
          <w:rFonts w:ascii="Times New Roman" w:hAnsi="Times New Roman" w:cs="Times New Roman"/>
          <w:sz w:val="24"/>
          <w:szCs w:val="24"/>
          <w:vertAlign w:val="superscript"/>
        </w:rPr>
        <w:t>3</w:t>
      </w:r>
      <w:r>
        <w:rPr>
          <w:rFonts w:ascii="Times New Roman" w:hAnsi="Times New Roman" w:cs="Times New Roman"/>
          <w:sz w:val="24"/>
          <w:szCs w:val="24"/>
        </w:rPr>
        <w:t>为佳，平均11.5 kg/m</w:t>
      </w:r>
      <w:r>
        <w:rPr>
          <w:rFonts w:ascii="Times New Roman" w:hAnsi="Times New Roman" w:cs="Times New Roman"/>
          <w:sz w:val="24"/>
          <w:szCs w:val="24"/>
          <w:vertAlign w:val="superscript"/>
        </w:rPr>
        <w:t>3</w:t>
      </w:r>
      <w:r>
        <w:rPr>
          <w:rFonts w:ascii="Times New Roman" w:hAnsi="Times New Roman" w:cs="Times New Roman"/>
          <w:sz w:val="24"/>
          <w:szCs w:val="24"/>
        </w:rPr>
        <w:t>。普通网箱平均深度2m，因此，平均养殖密度为23kg/m</w:t>
      </w:r>
      <w:r>
        <w:rPr>
          <w:rFonts w:ascii="Times New Roman" w:hAnsi="Times New Roman" w:cs="Times New Roman"/>
          <w:sz w:val="24"/>
          <w:szCs w:val="24"/>
          <w:vertAlign w:val="superscript"/>
        </w:rPr>
        <w:t>2</w:t>
      </w:r>
      <w:r>
        <w:rPr>
          <w:rFonts w:ascii="Times New Roman" w:hAnsi="Times New Roman" w:cs="Times New Roman"/>
          <w:sz w:val="24"/>
          <w:szCs w:val="24"/>
        </w:rPr>
        <w:t>为佳。所以，普通网箱养殖容量计算为：</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25" o:spt="75" type="#_x0000_t75" style="height:15.75pt;width:81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①</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sz w:val="24"/>
          <w:szCs w:val="24"/>
        </w:rPr>
        <w:t>：网箱养殖密度，单位kg/m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：养殖面积，单位m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深水网箱养殖苗种受海区水流速度所限，应放养100g以上的大规格苗种，如采取当年放养当年收获的方式，最适放养规格为200g，平均出水规格为450g。我国深水网箱养殖试验的单位面积最高产量为15kg/m</w:t>
      </w:r>
      <w:r>
        <w:rPr>
          <w:rFonts w:ascii="Times New Roman" w:hAnsi="Times New Roman" w:cs="Times New Roman"/>
          <w:sz w:val="24"/>
          <w:szCs w:val="24"/>
          <w:vertAlign w:val="superscript"/>
        </w:rPr>
        <w:t>3</w:t>
      </w:r>
      <w:r>
        <w:rPr>
          <w:rFonts w:ascii="Times New Roman" w:hAnsi="Times New Roman" w:cs="Times New Roman"/>
          <w:sz w:val="24"/>
          <w:szCs w:val="24"/>
        </w:rPr>
        <w:t>，但一般生产性养殖产量多在3~5kg/m</w:t>
      </w:r>
      <w:r>
        <w:rPr>
          <w:rFonts w:ascii="Times New Roman" w:hAnsi="Times New Roman" w:cs="Times New Roman"/>
          <w:sz w:val="24"/>
          <w:szCs w:val="24"/>
          <w:vertAlign w:val="superscript"/>
        </w:rPr>
        <w:t>3</w:t>
      </w:r>
      <w:r>
        <w:rPr>
          <w:rFonts w:ascii="Times New Roman" w:hAnsi="Times New Roman" w:cs="Times New Roman"/>
          <w:sz w:val="24"/>
          <w:szCs w:val="24"/>
        </w:rPr>
        <w:t>左右。一般要求，鱼类养殖的养殖水体溶解氧含量在4mg/L以上，才能保证鱼体存活的需要。因此，深水网箱养殖容量计算公式为：</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26" o:spt="75" type="#_x0000_t75" style="height:30pt;width:125.2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②</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DO</w:t>
      </w:r>
      <w:r>
        <w:rPr>
          <w:rFonts w:ascii="Times New Roman" w:hAnsi="Times New Roman" w:cs="Times New Roman"/>
          <w:i/>
          <w:sz w:val="24"/>
          <w:szCs w:val="24"/>
          <w:vertAlign w:val="subscript"/>
        </w:rPr>
        <w:t>1</w:t>
      </w:r>
      <w:r>
        <w:rPr>
          <w:rFonts w:ascii="Times New Roman" w:hAnsi="Times New Roman" w:cs="Times New Roman"/>
          <w:sz w:val="24"/>
          <w:szCs w:val="24"/>
        </w:rPr>
        <w:t>：养殖水域水体中的溶解氧浓度，单位mg/L；</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DO</w:t>
      </w:r>
      <w:r>
        <w:rPr>
          <w:rFonts w:ascii="Times New Roman" w:hAnsi="Times New Roman" w:cs="Times New Roman"/>
          <w:i/>
          <w:sz w:val="24"/>
          <w:szCs w:val="24"/>
          <w:vertAlign w:val="subscript"/>
        </w:rPr>
        <w:t>2</w:t>
      </w:r>
      <w:r>
        <w:rPr>
          <w:rFonts w:ascii="Times New Roman" w:hAnsi="Times New Roman" w:cs="Times New Roman"/>
          <w:sz w:val="24"/>
          <w:szCs w:val="24"/>
        </w:rPr>
        <w:t>：保持养殖对象活度的最低溶解氧浓度，单位mg/L；</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OC</w:t>
      </w:r>
      <w:r>
        <w:rPr>
          <w:rFonts w:ascii="Times New Roman" w:hAnsi="Times New Roman" w:cs="Times New Roman"/>
          <w:sz w:val="24"/>
          <w:szCs w:val="24"/>
        </w:rPr>
        <w:t>：每尾鱼的平均耗氧量，mg/ind.；</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V</w:t>
      </w:r>
      <w:r>
        <w:rPr>
          <w:rFonts w:ascii="Times New Roman" w:hAnsi="Times New Roman" w:cs="Times New Roman"/>
          <w:sz w:val="24"/>
          <w:szCs w:val="24"/>
        </w:rPr>
        <w:t>：养殖水体体积，单位m</w:t>
      </w:r>
      <w:r>
        <w:rPr>
          <w:rFonts w:ascii="Times New Roman" w:hAnsi="Times New Roman" w:cs="Times New Roman"/>
          <w:sz w:val="24"/>
          <w:szCs w:val="24"/>
          <w:vertAlign w:val="superscript"/>
        </w:rPr>
        <w:t>3</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W</w:t>
      </w:r>
      <w:r>
        <w:rPr>
          <w:rFonts w:ascii="Times New Roman" w:hAnsi="Times New Roman" w:cs="Times New Roman"/>
          <w:sz w:val="24"/>
          <w:szCs w:val="24"/>
        </w:rPr>
        <w:t>：规格鱼的平均体重，单位kg；</w:t>
      </w:r>
    </w:p>
    <w:p>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2</w:t>
      </w:r>
      <w:r>
        <w:rPr>
          <w:rFonts w:hint="eastAsia" w:ascii="Times New Roman" w:hAnsi="Times New Roman" w:cs="Times New Roman"/>
          <w:b/>
          <w:sz w:val="24"/>
          <w:szCs w:val="24"/>
        </w:rPr>
        <w:t>、</w:t>
      </w:r>
      <w:r>
        <w:rPr>
          <w:rFonts w:ascii="Times New Roman" w:hAnsi="Times New Roman" w:cs="Times New Roman"/>
          <w:b/>
          <w:sz w:val="24"/>
          <w:szCs w:val="24"/>
        </w:rPr>
        <w:t>池塘养殖</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主要养殖对象有对虾、梭子蟹、鱼类、海参、鲍鱼等。</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对于池塘养殖来说，饵料人工喂养，为了保证养殖动物最佳限度利用所投喂的饲料，达到充分生长的目的，水中的溶氧应不小于4mg/L。因此，在保证饵料充足的情况下，水体的体积、养殖的密度决定了其养殖容量。所以，</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27" o:spt="75" type="#_x0000_t75" style="height:15.75pt;width:82.5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③</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sz w:val="24"/>
          <w:szCs w:val="24"/>
        </w:rPr>
        <w:t>：养殖密度，单位kg/m</w:t>
      </w:r>
      <w:r>
        <w:rPr>
          <w:rFonts w:ascii="Times New Roman" w:hAnsi="Times New Roman" w:cs="Times New Roman"/>
          <w:sz w:val="24"/>
          <w:szCs w:val="24"/>
          <w:vertAlign w:val="superscript"/>
        </w:rPr>
        <w:t>2</w:t>
      </w:r>
      <w:r>
        <w:rPr>
          <w:rFonts w:ascii="Times New Roman" w:hAnsi="Times New Roman" w:cs="Times New Roman"/>
          <w:sz w:val="24"/>
          <w:szCs w:val="24"/>
        </w:rPr>
        <w:t>或kg/m</w:t>
      </w:r>
      <w:r>
        <w:rPr>
          <w:rFonts w:ascii="Times New Roman" w:hAnsi="Times New Roman" w:cs="Times New Roman"/>
          <w:sz w:val="24"/>
          <w:szCs w:val="24"/>
          <w:vertAlign w:val="superscript"/>
        </w:rPr>
        <w:t>3</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V</w:t>
      </w:r>
      <w:r>
        <w:rPr>
          <w:rFonts w:ascii="Times New Roman" w:hAnsi="Times New Roman" w:cs="Times New Roman"/>
          <w:sz w:val="24"/>
          <w:szCs w:val="24"/>
        </w:rPr>
        <w:t>：养殖水体体积，单位m</w:t>
      </w:r>
      <w:r>
        <w:rPr>
          <w:rFonts w:ascii="Times New Roman" w:hAnsi="Times New Roman" w:cs="Times New Roman"/>
          <w:sz w:val="24"/>
          <w:szCs w:val="24"/>
          <w:vertAlign w:val="superscript"/>
        </w:rPr>
        <w:t>3</w:t>
      </w:r>
      <w:r>
        <w:rPr>
          <w:rFonts w:ascii="Times New Roman" w:hAnsi="Times New Roman" w:cs="Times New Roman"/>
          <w:sz w:val="24"/>
          <w:szCs w:val="24"/>
        </w:rPr>
        <w:t>。</w:t>
      </w:r>
    </w:p>
    <w:p>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3</w:t>
      </w:r>
      <w:r>
        <w:rPr>
          <w:rFonts w:hint="eastAsia" w:ascii="Times New Roman" w:hAnsi="Times New Roman" w:cs="Times New Roman"/>
          <w:b/>
          <w:sz w:val="24"/>
          <w:szCs w:val="24"/>
        </w:rPr>
        <w:t>、</w:t>
      </w:r>
      <w:r>
        <w:rPr>
          <w:rFonts w:ascii="Times New Roman" w:hAnsi="Times New Roman" w:cs="Times New Roman"/>
          <w:b/>
          <w:sz w:val="24"/>
          <w:szCs w:val="24"/>
        </w:rPr>
        <w:t>工厂化养殖</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主要养殖对象有鱼类、鲍鱼等。</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对于工厂化养殖来说，饵料人工喂养，因此，在保证饵料充足的情况下，水体的体积及养殖的密度决定了其养殖容量。所以，</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28" o:spt="75" type="#_x0000_t75" style="height:15.75pt;width:83.25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④</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sz w:val="24"/>
          <w:szCs w:val="24"/>
        </w:rPr>
        <w:t>：养殖密度，单位kg/m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：养殖面积，单位m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4</w:t>
      </w:r>
      <w:r>
        <w:rPr>
          <w:rFonts w:hint="eastAsia" w:ascii="Times New Roman" w:hAnsi="Times New Roman" w:cs="Times New Roman"/>
          <w:b/>
          <w:sz w:val="24"/>
          <w:szCs w:val="24"/>
        </w:rPr>
        <w:t>、</w:t>
      </w:r>
      <w:r>
        <w:rPr>
          <w:rFonts w:ascii="Times New Roman" w:hAnsi="Times New Roman" w:cs="Times New Roman"/>
          <w:b/>
          <w:sz w:val="24"/>
          <w:szCs w:val="24"/>
        </w:rPr>
        <w:t>筏式养殖</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主要养殖对象有贝类、大型海藻。</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根据</w:t>
      </w:r>
      <w:r>
        <w:rPr>
          <w:rFonts w:hint="eastAsia" w:ascii="Times New Roman" w:hAnsi="Times New Roman" w:cs="Times New Roman"/>
          <w:sz w:val="24"/>
          <w:szCs w:val="24"/>
        </w:rPr>
        <w:t>相关养殖规范方案</w:t>
      </w:r>
      <w:r>
        <w:rPr>
          <w:rFonts w:ascii="Times New Roman" w:hAnsi="Times New Roman" w:cs="Times New Roman"/>
          <w:sz w:val="24"/>
          <w:szCs w:val="24"/>
        </w:rPr>
        <w:t>要求，在筏架设置时，每个生产作业区原则上不超过133.33hm</w:t>
      </w:r>
      <w:r>
        <w:rPr>
          <w:rFonts w:ascii="Times New Roman" w:hAnsi="Times New Roman" w:cs="Times New Roman"/>
          <w:sz w:val="24"/>
          <w:szCs w:val="24"/>
          <w:vertAlign w:val="superscript"/>
        </w:rPr>
        <w:t>2</w:t>
      </w:r>
      <w:r>
        <w:rPr>
          <w:rFonts w:ascii="Times New Roman" w:hAnsi="Times New Roman" w:cs="Times New Roman"/>
          <w:sz w:val="24"/>
          <w:szCs w:val="24"/>
        </w:rPr>
        <w:t>，作业区之间应保留60-100m的通道，每排筏架的长度以100m以下为宜，筏架间距不低于10m；两宗相邻确权海域间距应不低于200m，贝类养殖笼的直径不超过30cm，层数不超过15层，每条筏架养殖笼（海带绳）的间距不得低于1.5m。</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贝类生长主要依靠摄食浮游植物，因此贝类养殖容量计算公式：</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29" o:spt="75" type="#_x0000_t75" style="height:15.75pt;width:120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⑤</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P</w:t>
      </w:r>
      <w:r>
        <w:rPr>
          <w:rFonts w:ascii="Times New Roman" w:hAnsi="Times New Roman" w:cs="Times New Roman"/>
          <w:sz w:val="24"/>
          <w:szCs w:val="24"/>
        </w:rPr>
        <w:t>：浮游植物初级生产量，单位mgC/(m</w:t>
      </w:r>
      <w:r>
        <w:rPr>
          <w:rFonts w:ascii="Times New Roman" w:hAnsi="Times New Roman" w:cs="Times New Roman"/>
          <w:sz w:val="24"/>
          <w:szCs w:val="24"/>
          <w:vertAlign w:val="superscript"/>
        </w:rPr>
        <w:t>2</w:t>
      </w:r>
      <w:r>
        <w:rPr>
          <w:rFonts w:ascii="Times New Roman" w:hAnsi="Times New Roman" w:cs="Times New Roman"/>
          <w:sz w:val="24"/>
          <w:szCs w:val="24"/>
        </w:rPr>
        <w:t>d)；</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：养殖水域面积，单位m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K</w:t>
      </w:r>
      <w:r>
        <w:rPr>
          <w:rFonts w:ascii="Times New Roman" w:hAnsi="Times New Roman" w:cs="Times New Roman"/>
          <w:sz w:val="24"/>
          <w:szCs w:val="24"/>
        </w:rPr>
        <w:t>：贝类碳含量百分比。</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根据养殖水体无机氮守恒的原理：大型海藻养殖容量CC=（水体中的总无机氮</w:t>
      </w:r>
      <w:r>
        <w:rPr>
          <w:rFonts w:ascii="Times New Roman" w:hAnsi="Times New Roman" w:cs="Times New Roman"/>
          <w:i/>
          <w:sz w:val="24"/>
          <w:szCs w:val="24"/>
        </w:rPr>
        <w:t>N</w:t>
      </w:r>
      <w:r>
        <w:rPr>
          <w:rFonts w:ascii="Times New Roman" w:hAnsi="Times New Roman" w:cs="Times New Roman"/>
          <w:i/>
          <w:sz w:val="24"/>
          <w:szCs w:val="24"/>
          <w:vertAlign w:val="subscript"/>
        </w:rPr>
        <w:t>w</w:t>
      </w:r>
      <w:r>
        <w:rPr>
          <w:rFonts w:ascii="Times New Roman" w:hAnsi="Times New Roman" w:cs="Times New Roman"/>
          <w:sz w:val="24"/>
          <w:szCs w:val="24"/>
        </w:rPr>
        <w:t>—被水体中浮游植物利用掉的无机氮</w:t>
      </w:r>
      <w:r>
        <w:rPr>
          <w:rFonts w:ascii="Times New Roman" w:hAnsi="Times New Roman" w:cs="Times New Roman"/>
          <w:i/>
          <w:sz w:val="24"/>
          <w:szCs w:val="24"/>
        </w:rPr>
        <w:t>N</w:t>
      </w:r>
      <w:r>
        <w:rPr>
          <w:rFonts w:ascii="Times New Roman" w:hAnsi="Times New Roman" w:cs="Times New Roman"/>
          <w:i/>
          <w:sz w:val="24"/>
          <w:szCs w:val="24"/>
          <w:vertAlign w:val="subscript"/>
        </w:rPr>
        <w:t>p</w:t>
      </w:r>
      <w:r>
        <w:rPr>
          <w:rFonts w:ascii="Times New Roman" w:hAnsi="Times New Roman" w:cs="Times New Roman"/>
          <w:sz w:val="24"/>
          <w:szCs w:val="24"/>
        </w:rPr>
        <w:t>）/大型海藻收获时藻体中无机氮的百分比含量</w:t>
      </w:r>
      <w:r>
        <w:rPr>
          <w:rFonts w:ascii="Times New Roman" w:hAnsi="Times New Roman" w:cs="Times New Roman"/>
          <w:i/>
          <w:sz w:val="24"/>
          <w:szCs w:val="24"/>
        </w:rPr>
        <w:t>K</w:t>
      </w:r>
      <w:r>
        <w:rPr>
          <w:rFonts w:ascii="Times New Roman" w:hAnsi="Times New Roman" w:cs="Times New Roman"/>
          <w:i/>
          <w:sz w:val="24"/>
          <w:szCs w:val="24"/>
          <w:vertAlign w:val="subscript"/>
        </w:rPr>
        <w:t>1</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由此得到大型海藻养殖容量计算公式：</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object>
          <v:shape id="_x0000_i1030" o:spt="75" type="#_x0000_t75" style="height:38.25pt;width:188.25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Pr>
          <w:rFonts w:hint="eastAsia" w:ascii="宋体" w:hAnsi="宋体" w:eastAsia="宋体" w:cs="宋体"/>
          <w:sz w:val="24"/>
          <w:szCs w:val="24"/>
        </w:rPr>
        <w:t>⑥</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：大型海藻养殖容量，单位t；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C</w:t>
      </w:r>
      <w:r>
        <w:rPr>
          <w:rFonts w:ascii="Times New Roman" w:hAnsi="Times New Roman" w:cs="Times New Roman"/>
          <w:sz w:val="24"/>
          <w:szCs w:val="24"/>
        </w:rPr>
        <w:t>：养殖水体中无机氮的浓度，单位mg/L；</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：养殖水域面积，单位m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D</w:t>
      </w:r>
      <w:r>
        <w:rPr>
          <w:rFonts w:ascii="Times New Roman" w:hAnsi="Times New Roman" w:cs="Times New Roman"/>
          <w:sz w:val="24"/>
          <w:szCs w:val="24"/>
        </w:rPr>
        <w:t>：养殖水体水深，单位m；</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T</w:t>
      </w:r>
      <w:r>
        <w:rPr>
          <w:rFonts w:ascii="Times New Roman" w:hAnsi="Times New Roman" w:cs="Times New Roman"/>
          <w:sz w:val="24"/>
          <w:szCs w:val="24"/>
        </w:rPr>
        <w:t>：养殖水体水交换周期，单位d；</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P</w:t>
      </w:r>
      <w:r>
        <w:rPr>
          <w:rFonts w:ascii="Times New Roman" w:hAnsi="Times New Roman" w:cs="Times New Roman"/>
          <w:sz w:val="24"/>
          <w:szCs w:val="24"/>
        </w:rPr>
        <w:t>：浮游植物初级生产量，单位mgC/(m</w:t>
      </w:r>
      <w:r>
        <w:rPr>
          <w:rFonts w:ascii="Times New Roman" w:hAnsi="Times New Roman" w:cs="Times New Roman"/>
          <w:sz w:val="24"/>
          <w:szCs w:val="24"/>
          <w:vertAlign w:val="superscript"/>
        </w:rPr>
        <w:t>2</w:t>
      </w:r>
      <w:r>
        <w:rPr>
          <w:rFonts w:ascii="Times New Roman" w:hAnsi="Times New Roman" w:cs="Times New Roman"/>
          <w:sz w:val="24"/>
          <w:szCs w:val="24"/>
        </w:rPr>
        <w:t>d)；</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K</w:t>
      </w:r>
      <w:r>
        <w:rPr>
          <w:rFonts w:ascii="Times New Roman" w:hAnsi="Times New Roman" w:cs="Times New Roman"/>
          <w:i/>
          <w:sz w:val="24"/>
          <w:szCs w:val="24"/>
          <w:vertAlign w:val="subscript"/>
        </w:rPr>
        <w:t>2</w:t>
      </w:r>
      <w:r>
        <w:rPr>
          <w:rFonts w:ascii="Times New Roman" w:hAnsi="Times New Roman" w:cs="Times New Roman"/>
          <w:sz w:val="24"/>
          <w:szCs w:val="24"/>
        </w:rPr>
        <w:t>：浮游植物体碳氮转换系数，本文取9.26；</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K</w:t>
      </w:r>
      <w:r>
        <w:rPr>
          <w:rFonts w:ascii="Times New Roman" w:hAnsi="Times New Roman" w:cs="Times New Roman"/>
          <w:i/>
          <w:sz w:val="24"/>
          <w:szCs w:val="24"/>
          <w:vertAlign w:val="subscript"/>
        </w:rPr>
        <w:t>1</w:t>
      </w:r>
      <w:r>
        <w:rPr>
          <w:rFonts w:ascii="Times New Roman" w:hAnsi="Times New Roman" w:cs="Times New Roman"/>
          <w:sz w:val="24"/>
          <w:szCs w:val="24"/>
        </w:rPr>
        <w:t>：收获的大型海藻中无机氮含量，单位%，大型藻体无机氮含量在0.5%~6.5%，海带含量1.2%。</w:t>
      </w:r>
    </w:p>
    <w:p>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5</w:t>
      </w:r>
      <w:r>
        <w:rPr>
          <w:rFonts w:hint="eastAsia" w:ascii="Times New Roman" w:hAnsi="Times New Roman" w:cs="Times New Roman"/>
          <w:b/>
          <w:sz w:val="24"/>
          <w:szCs w:val="24"/>
        </w:rPr>
        <w:t>、</w:t>
      </w:r>
      <w:r>
        <w:rPr>
          <w:rFonts w:ascii="Times New Roman" w:hAnsi="Times New Roman" w:cs="Times New Roman"/>
          <w:b/>
          <w:sz w:val="24"/>
          <w:szCs w:val="24"/>
        </w:rPr>
        <w:t>底播养殖</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主要养殖对象有贝类、海参、鲍鱼。</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对于底播贝类，其饵料底栖硅藻的密度及海水交换速度决定了其养殖容量，养殖密度过高容易造成贝类死亡率过高及底部沉积物的增加，微生物降解作用的增强会导致溶解氧的快速消耗，产生硫化氢，对其他底栖无脊椎动物产生危害。因此，适当的养殖密度决定了其养殖容量。所以，</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31" o:spt="75" type="#_x0000_t75" style="height:15.75pt;width:83.25pt;" o:ole="t" filled="f" o:preferrelative="t" stroked="f" coordsize="21600,21600">
            <v:path/>
            <v:fill on="f" focussize="0,0"/>
            <v:stroke on="f" joinstyle="miter"/>
            <v:imagedata r:id="rId13" o:title=""/>
            <o:lock v:ext="edit" aspectratio="t"/>
            <w10:wrap type="none"/>
            <w10:anchorlock/>
          </v:shape>
          <o:OLEObject Type="Embed" ProgID="Equation.3" ShapeID="_x0000_i1031" DrawAspect="Content" ObjectID="_1468075731" r:id="rId18">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⑦</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sz w:val="24"/>
          <w:szCs w:val="24"/>
        </w:rPr>
        <w:t>：养殖密度，单位kg/m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：养殖面积，单位m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对于底播海参、鲍鱼，底栖藻类的生物量决定了其养殖容量，根据各营养级之间的能量转化平均效率为10%，因此，底栖藻类生物量×10%=养殖贝类、海参、鲍鱼的生物量—其他底栖生物的生物量。所以，</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32" o:spt="75" type="#_x0000_t75" style="height:18pt;width:131.25pt;" o:ole="t" filled="f" o:preferrelative="t" stroked="f" coordsize="21600,21600">
            <v:path/>
            <v:fill on="f" focussize="0,0"/>
            <v:stroke on="f" joinstyle="miter"/>
            <v:imagedata r:id="rId20" o:title=""/>
            <o:lock v:ext="edit" aspectratio="t"/>
            <w10:wrap type="none"/>
            <w10:anchorlock/>
          </v:shape>
          <o:OLEObject Type="Embed" ProgID="Equation.3" ShapeID="_x0000_i1032" DrawAspect="Content" ObjectID="_1468075732" r:id="rId19">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⑧</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i/>
          <w:sz w:val="24"/>
          <w:szCs w:val="24"/>
          <w:vertAlign w:val="subscript"/>
        </w:rPr>
        <w:t>1</w:t>
      </w:r>
      <w:r>
        <w:rPr>
          <w:rFonts w:ascii="Times New Roman" w:hAnsi="Times New Roman" w:cs="Times New Roman"/>
          <w:sz w:val="24"/>
          <w:szCs w:val="24"/>
        </w:rPr>
        <w:t>：底栖藻类生物量，单位kg/m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i/>
          <w:sz w:val="24"/>
          <w:szCs w:val="24"/>
          <w:vertAlign w:val="subscript"/>
        </w:rPr>
        <w:t>2</w:t>
      </w:r>
      <w:r>
        <w:rPr>
          <w:rFonts w:ascii="Times New Roman" w:hAnsi="Times New Roman" w:cs="Times New Roman"/>
          <w:sz w:val="24"/>
          <w:szCs w:val="24"/>
        </w:rPr>
        <w:t>：其他底栖生物生物量，单位kg/m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：养殖水域面积，单位m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6</w:t>
      </w:r>
      <w:r>
        <w:rPr>
          <w:rFonts w:hint="eastAsia" w:ascii="Times New Roman" w:hAnsi="Times New Roman" w:cs="Times New Roman"/>
          <w:b/>
          <w:sz w:val="24"/>
          <w:szCs w:val="24"/>
        </w:rPr>
        <w:t>、</w:t>
      </w:r>
      <w:r>
        <w:rPr>
          <w:rFonts w:ascii="Times New Roman" w:hAnsi="Times New Roman" w:cs="Times New Roman"/>
          <w:b/>
          <w:sz w:val="24"/>
          <w:szCs w:val="24"/>
        </w:rPr>
        <w:t>围堰养殖</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主要养殖对象为海参。</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对于围堰养殖来说，可人工投喂饵料喂养，因此，在保证饵料充足的情况下，水体的体积及养殖的密度决定了其养殖容量，养殖密度过高容易造成成活率下降，适宜采捕密度为每平方米6~7头刺参，平均121g/个，因此适宜养殖密度为0.726 kg/m</w:t>
      </w:r>
      <w:r>
        <w:rPr>
          <w:rFonts w:ascii="Times New Roman" w:hAnsi="Times New Roman" w:cs="Times New Roman"/>
          <w:sz w:val="24"/>
          <w:szCs w:val="24"/>
          <w:vertAlign w:val="superscript"/>
        </w:rPr>
        <w:t>2</w:t>
      </w:r>
      <w:r>
        <w:rPr>
          <w:rFonts w:ascii="Times New Roman" w:hAnsi="Times New Roman" w:cs="Times New Roman"/>
          <w:sz w:val="24"/>
          <w:szCs w:val="24"/>
        </w:rPr>
        <w:t>~0.847 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33" o:spt="75" type="#_x0000_t75" style="height:15.75pt;width:83.25pt;" o:ole="t" filled="f" o:preferrelative="t" stroked="f" coordsize="21600,21600">
            <v:path/>
            <v:fill on="f" focussize="0,0"/>
            <v:stroke on="f" joinstyle="miter"/>
            <v:imagedata r:id="rId13" o:title=""/>
            <o:lock v:ext="edit" aspectratio="t"/>
            <w10:wrap type="none"/>
            <w10:anchorlock/>
          </v:shape>
          <o:OLEObject Type="Embed" ProgID="Equation.3" ShapeID="_x0000_i1033" DrawAspect="Content" ObjectID="_1468075733" r:id="rId21">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⑨</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sz w:val="24"/>
          <w:szCs w:val="24"/>
        </w:rPr>
        <w:t>：养殖密度，单位kg/m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：养殖面积，单位m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7</w:t>
      </w:r>
      <w:r>
        <w:rPr>
          <w:rFonts w:hint="eastAsia" w:ascii="Times New Roman" w:hAnsi="Times New Roman" w:cs="Times New Roman"/>
          <w:b/>
          <w:sz w:val="24"/>
          <w:szCs w:val="24"/>
        </w:rPr>
        <w:t>、</w:t>
      </w:r>
      <w:r>
        <w:rPr>
          <w:rFonts w:ascii="Times New Roman" w:hAnsi="Times New Roman" w:cs="Times New Roman"/>
          <w:b/>
          <w:sz w:val="24"/>
          <w:szCs w:val="24"/>
        </w:rPr>
        <w:t>人工鱼礁</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主要养殖对象为海参、鲍鱼。</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底栖藻类的生物量决定了其养殖容量，根据各营养级之间的能量转化平均效率为10%，因此，底栖藻类生物量×10%=养殖贝类、海参、鲍鱼的生物量+其他底栖生物的生物量。所以，</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object>
          <v:shape id="_x0000_i1034" o:spt="75" type="#_x0000_t75" style="height:18pt;width:131.25pt;" o:ole="t" filled="f" o:preferrelative="t" stroked="f" coordsize="21600,21600">
            <v:path/>
            <v:fill on="f" focussize="0,0"/>
            <v:stroke on="f" joinstyle="miter"/>
            <v:imagedata r:id="rId20" o:title=""/>
            <o:lock v:ext="edit" aspectratio="t"/>
            <w10:wrap type="none"/>
            <w10:anchorlock/>
          </v:shape>
          <o:OLEObject Type="Embed" ProgID="Equation.3" ShapeID="_x0000_i1034" DrawAspect="Content" ObjectID="_1468075734" r:id="rId22">
            <o:LockedField>false</o:LockedField>
          </o:OLEObject>
        </w:object>
      </w:r>
      <w:r>
        <w:rPr>
          <w:rFonts w:ascii="Times New Roman" w:hAnsi="Times New Roman" w:cs="Times New Roman"/>
          <w:sz w:val="24"/>
          <w:szCs w:val="24"/>
        </w:rPr>
        <w:t xml:space="preserve">                                </w:t>
      </w:r>
      <w:r>
        <w:rPr>
          <w:rFonts w:hint="eastAsia" w:ascii="宋体" w:hAnsi="宋体" w:eastAsia="宋体" w:cs="宋体"/>
          <w:sz w:val="24"/>
          <w:szCs w:val="24"/>
        </w:rPr>
        <w:t>⑩</w:t>
      </w:r>
    </w:p>
    <w:p>
      <w:pPr>
        <w:spacing w:line="360" w:lineRule="auto"/>
        <w:ind w:firstLine="480" w:firstLineChars="200"/>
        <w:rPr>
          <w:rFonts w:ascii="Times New Roman" w:hAnsi="Times New Roman" w:cs="Times New Roman"/>
          <w:i/>
          <w:sz w:val="24"/>
          <w:szCs w:val="24"/>
        </w:rPr>
      </w:pPr>
      <w:r>
        <w:rPr>
          <w:rFonts w:ascii="Times New Roman" w:hAnsi="Times New Roman" w:cs="Times New Roman"/>
          <w:i/>
          <w:sz w:val="24"/>
          <w:szCs w:val="24"/>
        </w:rPr>
        <w:t>CC</w:t>
      </w:r>
      <w:r>
        <w:rPr>
          <w:rFonts w:ascii="Times New Roman" w:hAnsi="Times New Roman" w:cs="Times New Roman"/>
          <w:sz w:val="24"/>
          <w:szCs w:val="24"/>
        </w:rPr>
        <w:t>：养殖容量，单位t；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i/>
          <w:sz w:val="24"/>
          <w:szCs w:val="24"/>
          <w:vertAlign w:val="subscript"/>
        </w:rPr>
        <w:t>1</w:t>
      </w:r>
      <w:r>
        <w:rPr>
          <w:rFonts w:ascii="Times New Roman" w:hAnsi="Times New Roman" w:cs="Times New Roman"/>
          <w:sz w:val="24"/>
          <w:szCs w:val="24"/>
        </w:rPr>
        <w:t>：底栖藻类生物量，单位kg/m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i/>
          <w:sz w:val="24"/>
          <w:szCs w:val="24"/>
          <w:vertAlign w:val="subscript"/>
        </w:rPr>
        <w:t>2</w:t>
      </w:r>
      <w:r>
        <w:rPr>
          <w:rFonts w:ascii="Times New Roman" w:hAnsi="Times New Roman" w:cs="Times New Roman"/>
          <w:sz w:val="24"/>
          <w:szCs w:val="24"/>
        </w:rPr>
        <w:t>：其他底栖生物生物量，单位kg/m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：人工鱼礁面积，单位m</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8</w:t>
      </w:r>
      <w:r>
        <w:rPr>
          <w:rFonts w:hint="eastAsia" w:ascii="Times New Roman" w:hAnsi="Times New Roman" w:cs="Times New Roman"/>
          <w:b/>
          <w:sz w:val="24"/>
          <w:szCs w:val="24"/>
        </w:rPr>
        <w:t>、</w:t>
      </w:r>
      <w:r>
        <w:rPr>
          <w:rFonts w:ascii="Times New Roman" w:hAnsi="Times New Roman" w:cs="Times New Roman"/>
          <w:b/>
          <w:sz w:val="24"/>
          <w:szCs w:val="24"/>
        </w:rPr>
        <w:t>生态立体养殖</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主要养殖对象为表层大型海藻、中层鱼类、底层海参。</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大型海藻为初级生产力，其养殖容量主要受水体中的营养盐影响，而中层鱼类、底层海参的养殖容量则受大型海藻生物量直接影响。因此，大型海藻的养殖容量可按（4）中藻类养殖的估算方法，中层鱼类、底层海参的养殖量可按Ren等人（2012）提出的鱼类、大型藻类、海参（干重）1：1.02：0.17的比例进行估算。鱼类的平均含水率为75%，大型藻类的平均含水率为83%，刺参的平均含水率为90%。按上述比例换算大型藻类、鱼类、刺参（湿重）比为1：0.94：1。</w:t>
      </w:r>
    </w:p>
    <w:p>
      <w:pPr>
        <w:keepNext/>
        <w:keepLines/>
        <w:tabs>
          <w:tab w:val="left" w:pos="3450"/>
        </w:tabs>
        <w:spacing w:before="60" w:after="60" w:line="360" w:lineRule="auto"/>
        <w:outlineLvl w:val="1"/>
        <w:rPr>
          <w:rFonts w:ascii="Times New Roman" w:hAnsi="Times New Roman" w:eastAsia="仿宋_GB2312" w:cs="Times New Roman"/>
          <w:b/>
          <w:kern w:val="0"/>
          <w:sz w:val="32"/>
          <w:szCs w:val="28"/>
          <w:lang w:val="zh-CN" w:eastAsia="zh-CN"/>
        </w:rPr>
      </w:pPr>
      <w:bookmarkStart w:id="28" w:name="_Toc488925187"/>
      <w:r>
        <w:rPr>
          <w:rFonts w:ascii="Times New Roman" w:hAnsi="Times New Roman" w:eastAsia="仿宋_GB2312" w:cs="Times New Roman"/>
          <w:b/>
          <w:kern w:val="0"/>
          <w:sz w:val="32"/>
          <w:szCs w:val="28"/>
          <w:lang w:val="zh-CN" w:eastAsia="zh-CN"/>
        </w:rPr>
        <w:t>（四）登记表的有关说明</w:t>
      </w:r>
      <w:bookmarkEnd w:id="28"/>
    </w:p>
    <w:bookmarkEnd w:id="26"/>
    <w:bookmarkEnd w:id="27"/>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规划登记表是规划的重要组成部分。登记表对</w:t>
      </w:r>
      <w:r>
        <w:rPr>
          <w:rFonts w:hint="eastAsia" w:ascii="Times New Roman" w:hAnsi="Times New Roman" w:cs="Times New Roman"/>
          <w:sz w:val="24"/>
          <w:szCs w:val="24"/>
        </w:rPr>
        <w:t>海阳市</w:t>
      </w:r>
      <w:r>
        <w:rPr>
          <w:rFonts w:ascii="Times New Roman" w:hAnsi="Times New Roman" w:cs="Times New Roman"/>
          <w:sz w:val="24"/>
          <w:szCs w:val="24"/>
        </w:rPr>
        <w:t>养殖水域滩涂所有</w:t>
      </w:r>
      <w:r>
        <w:rPr>
          <w:rFonts w:hint="eastAsia" w:ascii="Times New Roman" w:hAnsi="Times New Roman" w:cs="Times New Roman"/>
          <w:sz w:val="24"/>
          <w:szCs w:val="24"/>
        </w:rPr>
        <w:t>三</w:t>
      </w:r>
      <w:r>
        <w:rPr>
          <w:rFonts w:ascii="Times New Roman" w:hAnsi="Times New Roman" w:cs="Times New Roman"/>
          <w:sz w:val="24"/>
          <w:szCs w:val="24"/>
        </w:rPr>
        <w:t>级类规划区的规划用途及管理要求等，用表的形式进行了说明，具体功能区的说明栏目如下：序号、</w:t>
      </w:r>
      <w:r>
        <w:rPr>
          <w:rFonts w:hint="eastAsia" w:ascii="Times New Roman" w:hAnsi="Times New Roman" w:cs="Times New Roman"/>
          <w:sz w:val="24"/>
          <w:szCs w:val="24"/>
        </w:rPr>
        <w:t>编码</w:t>
      </w:r>
      <w:r>
        <w:rPr>
          <w:rFonts w:ascii="Times New Roman" w:hAnsi="Times New Roman" w:cs="Times New Roman"/>
          <w:sz w:val="24"/>
          <w:szCs w:val="24"/>
        </w:rPr>
        <w:t>、规划区名称、</w:t>
      </w:r>
      <w:r>
        <w:rPr>
          <w:rFonts w:hint="eastAsia" w:ascii="Times New Roman" w:hAnsi="Times New Roman" w:cs="Times New Roman"/>
          <w:sz w:val="24"/>
          <w:szCs w:val="24"/>
        </w:rPr>
        <w:t>面积、经纬界址、</w:t>
      </w:r>
      <w:r>
        <w:rPr>
          <w:rFonts w:ascii="Times New Roman" w:hAnsi="Times New Roman" w:cs="Times New Roman"/>
          <w:sz w:val="24"/>
          <w:szCs w:val="24"/>
        </w:rPr>
        <w:t>位置描述、用海现状、养殖现状、承载力和管理要求等。</w:t>
      </w:r>
    </w:p>
    <w:p>
      <w:pPr>
        <w:keepNext/>
        <w:keepLines/>
        <w:tabs>
          <w:tab w:val="left" w:pos="3450"/>
        </w:tabs>
        <w:spacing w:before="60" w:after="60" w:line="360" w:lineRule="auto"/>
        <w:outlineLvl w:val="1"/>
        <w:rPr>
          <w:rFonts w:ascii="Times New Roman" w:hAnsi="Times New Roman" w:eastAsia="仿宋_GB2312" w:cs="Times New Roman"/>
          <w:b/>
          <w:kern w:val="0"/>
          <w:sz w:val="32"/>
          <w:szCs w:val="28"/>
          <w:lang w:val="zh-CN"/>
        </w:rPr>
      </w:pPr>
      <w:bookmarkStart w:id="29" w:name="_Toc488925188"/>
      <w:r>
        <w:rPr>
          <w:rFonts w:ascii="Times New Roman" w:hAnsi="Times New Roman" w:eastAsia="仿宋_GB2312" w:cs="Times New Roman"/>
          <w:b/>
          <w:kern w:val="0"/>
          <w:sz w:val="32"/>
          <w:szCs w:val="28"/>
          <w:lang w:val="zh-CN" w:eastAsia="zh-CN"/>
        </w:rPr>
        <w:t>（</w:t>
      </w:r>
      <w:r>
        <w:rPr>
          <w:rFonts w:ascii="Times New Roman" w:hAnsi="Times New Roman" w:eastAsia="仿宋_GB2312" w:cs="Times New Roman"/>
          <w:b/>
          <w:kern w:val="0"/>
          <w:sz w:val="32"/>
          <w:szCs w:val="28"/>
          <w:lang w:val="zh-CN"/>
        </w:rPr>
        <w:t>五</w:t>
      </w:r>
      <w:r>
        <w:rPr>
          <w:rFonts w:ascii="Times New Roman" w:hAnsi="Times New Roman" w:eastAsia="仿宋_GB2312" w:cs="Times New Roman"/>
          <w:b/>
          <w:kern w:val="0"/>
          <w:sz w:val="32"/>
          <w:szCs w:val="28"/>
          <w:lang w:val="zh-CN" w:eastAsia="zh-CN"/>
        </w:rPr>
        <w:t>）</w:t>
      </w:r>
      <w:r>
        <w:rPr>
          <w:rFonts w:ascii="Times New Roman" w:hAnsi="Times New Roman" w:eastAsia="仿宋_GB2312" w:cs="Times New Roman"/>
          <w:b/>
          <w:kern w:val="0"/>
          <w:sz w:val="32"/>
          <w:szCs w:val="28"/>
          <w:lang w:val="zh-CN"/>
        </w:rPr>
        <w:t>与相关规划的衔接情况</w:t>
      </w:r>
      <w:bookmarkEnd w:id="29"/>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w:t>
      </w:r>
      <w:r>
        <w:rPr>
          <w:rFonts w:ascii="Times New Roman" w:hAnsi="Times New Roman" w:cs="Times New Roman"/>
          <w:sz w:val="24"/>
          <w:szCs w:val="24"/>
        </w:rPr>
        <w:t>与</w:t>
      </w:r>
      <w:bookmarkStart w:id="30" w:name="OLE_LINK9"/>
      <w:bookmarkStart w:id="31" w:name="OLE_LINK8"/>
      <w:r>
        <w:rPr>
          <w:rFonts w:ascii="Times New Roman" w:hAnsi="Times New Roman" w:cs="Times New Roman"/>
          <w:sz w:val="24"/>
          <w:szCs w:val="24"/>
        </w:rPr>
        <w:t>《山东省海洋功能区划（2011-2020年）》、《</w:t>
      </w:r>
      <w:r>
        <w:rPr>
          <w:rFonts w:hint="eastAsia" w:ascii="Times New Roman" w:hAnsi="Times New Roman" w:cs="Times New Roman"/>
          <w:sz w:val="24"/>
          <w:szCs w:val="24"/>
        </w:rPr>
        <w:t>烟台</w:t>
      </w:r>
      <w:r>
        <w:rPr>
          <w:rFonts w:ascii="Times New Roman" w:hAnsi="Times New Roman" w:cs="Times New Roman"/>
          <w:sz w:val="24"/>
          <w:szCs w:val="24"/>
        </w:rPr>
        <w:t>市海洋功能区划（2011-2020年）》</w:t>
      </w:r>
      <w:bookmarkEnd w:id="30"/>
      <w:bookmarkEnd w:id="31"/>
      <w:r>
        <w:rPr>
          <w:rFonts w:hint="eastAsia" w:ascii="Times New Roman" w:hAnsi="Times New Roman" w:cs="Times New Roman"/>
          <w:sz w:val="24"/>
          <w:szCs w:val="24"/>
        </w:rPr>
        <w:t>、《海阳市海域使用规划</w:t>
      </w:r>
      <w:r>
        <w:rPr>
          <w:rFonts w:ascii="Times New Roman" w:hAnsi="Times New Roman" w:cs="Times New Roman"/>
          <w:sz w:val="24"/>
          <w:szCs w:val="24"/>
        </w:rPr>
        <w:t>（2013-2020年）</w:t>
      </w:r>
      <w:r>
        <w:rPr>
          <w:rFonts w:hint="eastAsia" w:ascii="Times New Roman" w:hAnsi="Times New Roman" w:cs="Times New Roman"/>
          <w:sz w:val="24"/>
          <w:szCs w:val="24"/>
        </w:rPr>
        <w:t>》的</w:t>
      </w:r>
      <w:r>
        <w:rPr>
          <w:rFonts w:ascii="Times New Roman" w:hAnsi="Times New Roman" w:cs="Times New Roman"/>
          <w:sz w:val="24"/>
          <w:szCs w:val="24"/>
        </w:rPr>
        <w:t>衔接情况</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本规划编制过程中，按照农业部《养殖水域滩涂规划编制工作规范》</w:t>
      </w:r>
      <w:r>
        <w:rPr>
          <w:rFonts w:hint="eastAsia" w:ascii="Times New Roman" w:hAnsi="Times New Roman" w:cs="Times New Roman"/>
          <w:sz w:val="24"/>
          <w:szCs w:val="24"/>
        </w:rPr>
        <w:t>、《山东省养殖水域滩涂规划编制技术要求》（2</w:t>
      </w:r>
      <w:r>
        <w:rPr>
          <w:rFonts w:ascii="Times New Roman" w:hAnsi="Times New Roman" w:cs="Times New Roman"/>
          <w:sz w:val="24"/>
          <w:szCs w:val="24"/>
        </w:rPr>
        <w:t>018</w:t>
      </w:r>
      <w:r>
        <w:rPr>
          <w:rFonts w:hint="eastAsia" w:ascii="Times New Roman" w:hAnsi="Times New Roman" w:cs="Times New Roman"/>
          <w:sz w:val="24"/>
          <w:szCs w:val="24"/>
        </w:rPr>
        <w:t>年）</w:t>
      </w:r>
      <w:r>
        <w:rPr>
          <w:rFonts w:ascii="Times New Roman" w:hAnsi="Times New Roman" w:cs="Times New Roman"/>
          <w:sz w:val="24"/>
          <w:szCs w:val="24"/>
        </w:rPr>
        <w:t>的要求，规划的各一级功能区与《山东省海洋功能区划（2011-2020年）》、《</w:t>
      </w:r>
      <w:r>
        <w:rPr>
          <w:rFonts w:hint="eastAsia" w:ascii="Times New Roman" w:hAnsi="Times New Roman" w:cs="Times New Roman"/>
          <w:sz w:val="24"/>
          <w:szCs w:val="24"/>
        </w:rPr>
        <w:t>烟台</w:t>
      </w:r>
      <w:r>
        <w:rPr>
          <w:rFonts w:ascii="Times New Roman" w:hAnsi="Times New Roman" w:cs="Times New Roman"/>
          <w:sz w:val="24"/>
          <w:szCs w:val="24"/>
        </w:rPr>
        <w:t>市海洋功能区划（2011-2020年）》</w:t>
      </w:r>
      <w:r>
        <w:rPr>
          <w:rFonts w:hint="eastAsia" w:ascii="Times New Roman" w:hAnsi="Times New Roman" w:cs="Times New Roman"/>
          <w:sz w:val="24"/>
          <w:szCs w:val="24"/>
        </w:rPr>
        <w:t>、《海阳市海域使用规划</w:t>
      </w:r>
      <w:r>
        <w:rPr>
          <w:rFonts w:ascii="Times New Roman" w:hAnsi="Times New Roman" w:cs="Times New Roman"/>
          <w:sz w:val="24"/>
          <w:szCs w:val="24"/>
        </w:rPr>
        <w:t>（2013-2020年）</w:t>
      </w:r>
      <w:r>
        <w:rPr>
          <w:rFonts w:hint="eastAsia" w:ascii="Times New Roman" w:hAnsi="Times New Roman" w:cs="Times New Roman"/>
          <w:sz w:val="24"/>
          <w:szCs w:val="24"/>
        </w:rPr>
        <w:t>》</w:t>
      </w:r>
      <w:r>
        <w:rPr>
          <w:rFonts w:ascii="Times New Roman" w:hAnsi="Times New Roman" w:cs="Times New Roman"/>
          <w:sz w:val="24"/>
          <w:szCs w:val="24"/>
        </w:rPr>
        <w:t>的基本功能相衔接。</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w:t>
      </w:r>
      <w:r>
        <w:rPr>
          <w:rFonts w:ascii="Times New Roman" w:hAnsi="Times New Roman" w:cs="Times New Roman"/>
          <w:sz w:val="24"/>
          <w:szCs w:val="24"/>
        </w:rPr>
        <w:t>与其他规划的衔接情况</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规划编制过程中，参考了《山东半岛蓝色经济区发展规划》、《山东省“海上粮仓”建设规划》、《山东省海洋牧场建设规划（2017-2020年）》、《山东省“海上粮仓”建设规划（2015-2020年）》、《山东省“十三五”海洋经济发展规划》、《山东省黄海海洋生态红线划定方案（2016-2020年）》、《烟台市蓝色经济区建设总体规划》</w:t>
      </w:r>
      <w:r>
        <w:rPr>
          <w:rFonts w:hint="eastAsia" w:ascii="Times New Roman" w:hAnsi="Times New Roman" w:cs="Times New Roman"/>
          <w:sz w:val="24"/>
          <w:szCs w:val="24"/>
        </w:rPr>
        <w:t>、</w:t>
      </w:r>
      <w:r>
        <w:rPr>
          <w:rFonts w:ascii="Times New Roman" w:hAnsi="Times New Roman" w:cs="Times New Roman"/>
          <w:sz w:val="24"/>
          <w:szCs w:val="24"/>
        </w:rPr>
        <w:t>《烟台市海岸带规划》</w:t>
      </w:r>
      <w:r>
        <w:rPr>
          <w:rFonts w:hint="eastAsia" w:ascii="Times New Roman" w:hAnsi="Times New Roman" w:cs="Times New Roman"/>
          <w:sz w:val="24"/>
          <w:szCs w:val="24"/>
        </w:rPr>
        <w:t>、</w:t>
      </w:r>
      <w:r>
        <w:rPr>
          <w:rFonts w:ascii="Times New Roman" w:hAnsi="Times New Roman" w:cs="Times New Roman"/>
          <w:sz w:val="24"/>
          <w:szCs w:val="24"/>
        </w:rPr>
        <w:t>《烟台市土地利用总体规划》</w:t>
      </w:r>
      <w:r>
        <w:rPr>
          <w:rFonts w:hint="eastAsia" w:ascii="Times New Roman" w:hAnsi="Times New Roman" w:cs="Times New Roman"/>
          <w:sz w:val="24"/>
          <w:szCs w:val="24"/>
        </w:rPr>
        <w:t>、</w:t>
      </w:r>
      <w:r>
        <w:rPr>
          <w:rFonts w:ascii="Times New Roman" w:hAnsi="Times New Roman" w:cs="Times New Roman"/>
          <w:sz w:val="24"/>
          <w:szCs w:val="24"/>
        </w:rPr>
        <w:t>《市县级海域使用规划编制技术指南》</w:t>
      </w:r>
      <w:r>
        <w:rPr>
          <w:rFonts w:hint="eastAsia" w:ascii="Times New Roman" w:hAnsi="Times New Roman" w:cs="Times New Roman"/>
          <w:sz w:val="24"/>
          <w:szCs w:val="24"/>
        </w:rPr>
        <w:t>、</w:t>
      </w:r>
      <w:r>
        <w:rPr>
          <w:rFonts w:ascii="Times New Roman" w:hAnsi="Times New Roman" w:cs="Times New Roman"/>
          <w:sz w:val="24"/>
          <w:szCs w:val="24"/>
        </w:rPr>
        <w:t>《烟台市城市总体规划（2011</w:t>
      </w:r>
      <w:r>
        <w:rPr>
          <w:rFonts w:hint="eastAsia" w:ascii="Times New Roman" w:hAnsi="Times New Roman" w:cs="Times New Roman"/>
          <w:sz w:val="24"/>
          <w:szCs w:val="24"/>
        </w:rPr>
        <w:t>-</w:t>
      </w:r>
      <w:r>
        <w:rPr>
          <w:rFonts w:ascii="Times New Roman" w:hAnsi="Times New Roman" w:cs="Times New Roman"/>
          <w:sz w:val="24"/>
          <w:szCs w:val="24"/>
        </w:rPr>
        <w:t>2020年）》</w:t>
      </w:r>
      <w:r>
        <w:rPr>
          <w:rFonts w:hint="eastAsia" w:ascii="Times New Roman" w:hAnsi="Times New Roman" w:cs="Times New Roman"/>
          <w:sz w:val="24"/>
          <w:szCs w:val="24"/>
        </w:rPr>
        <w:t>、</w:t>
      </w:r>
      <w:r>
        <w:rPr>
          <w:rFonts w:ascii="Times New Roman" w:hAnsi="Times New Roman" w:cs="Times New Roman"/>
          <w:sz w:val="24"/>
          <w:szCs w:val="24"/>
        </w:rPr>
        <w:t>《烟台市“十三五”生态环境保护规划》</w:t>
      </w:r>
      <w:r>
        <w:rPr>
          <w:rFonts w:hint="eastAsia" w:ascii="Times New Roman" w:hAnsi="Times New Roman" w:cs="Times New Roman"/>
          <w:sz w:val="24"/>
          <w:szCs w:val="24"/>
        </w:rPr>
        <w:t>、</w:t>
      </w:r>
      <w:r>
        <w:rPr>
          <w:rFonts w:ascii="Times New Roman" w:hAnsi="Times New Roman" w:cs="Times New Roman"/>
          <w:sz w:val="24"/>
          <w:szCs w:val="24"/>
        </w:rPr>
        <w:t>《烟台市海洋环境保护“十三五”规划》</w:t>
      </w:r>
      <w:r>
        <w:rPr>
          <w:rFonts w:hint="eastAsia" w:ascii="Times New Roman" w:hAnsi="Times New Roman" w:cs="Times New Roman"/>
          <w:sz w:val="24"/>
          <w:szCs w:val="24"/>
        </w:rPr>
        <w:t>、</w:t>
      </w:r>
      <w:r>
        <w:rPr>
          <w:rFonts w:ascii="Times New Roman" w:hAnsi="Times New Roman" w:cs="Times New Roman"/>
          <w:sz w:val="24"/>
          <w:szCs w:val="24"/>
        </w:rPr>
        <w:t>《关于同意烟台海洋强市建设规划的批复》</w:t>
      </w:r>
      <w:r>
        <w:rPr>
          <w:rFonts w:hint="eastAsia" w:ascii="Times New Roman" w:hAnsi="Times New Roman" w:cs="Times New Roman"/>
          <w:sz w:val="24"/>
          <w:szCs w:val="24"/>
        </w:rPr>
        <w:t>、《海阳市城市总体规划（</w:t>
      </w:r>
      <w:r>
        <w:rPr>
          <w:rFonts w:ascii="Times New Roman" w:hAnsi="Times New Roman" w:cs="Times New Roman"/>
          <w:sz w:val="24"/>
          <w:szCs w:val="24"/>
        </w:rPr>
        <w:t xml:space="preserve">2005-2020 </w:t>
      </w:r>
      <w:r>
        <w:rPr>
          <w:rFonts w:hint="eastAsia" w:ascii="Times New Roman" w:hAnsi="Times New Roman" w:cs="Times New Roman"/>
          <w:sz w:val="24"/>
          <w:szCs w:val="24"/>
        </w:rPr>
        <w:t>年）》、《海阳市旅游发展总体规划（</w:t>
      </w:r>
      <w:r>
        <w:rPr>
          <w:rFonts w:ascii="Times New Roman" w:hAnsi="Times New Roman" w:cs="Times New Roman"/>
          <w:sz w:val="24"/>
          <w:szCs w:val="24"/>
        </w:rPr>
        <w:t xml:space="preserve">2007-2020 </w:t>
      </w:r>
      <w:r>
        <w:rPr>
          <w:rFonts w:hint="eastAsia" w:ascii="Times New Roman" w:hAnsi="Times New Roman" w:cs="Times New Roman"/>
          <w:sz w:val="24"/>
          <w:szCs w:val="24"/>
        </w:rPr>
        <w:t>年）》、《海阳市一片两带经济发展规划（</w:t>
      </w:r>
      <w:r>
        <w:rPr>
          <w:rFonts w:ascii="Times New Roman" w:hAnsi="Times New Roman" w:cs="Times New Roman"/>
          <w:sz w:val="24"/>
          <w:szCs w:val="24"/>
        </w:rPr>
        <w:t xml:space="preserve">2008-2020 </w:t>
      </w:r>
      <w:r>
        <w:rPr>
          <w:rFonts w:hint="eastAsia" w:ascii="Times New Roman" w:hAnsi="Times New Roman" w:cs="Times New Roman"/>
          <w:sz w:val="24"/>
          <w:szCs w:val="24"/>
        </w:rPr>
        <w:t>年）》、《海阳市海洋经济发展战略规划（</w:t>
      </w:r>
      <w:r>
        <w:rPr>
          <w:rFonts w:ascii="Times New Roman" w:hAnsi="Times New Roman" w:cs="Times New Roman"/>
          <w:sz w:val="24"/>
          <w:szCs w:val="24"/>
        </w:rPr>
        <w:t xml:space="preserve">2008-2020 </w:t>
      </w:r>
      <w:r>
        <w:rPr>
          <w:rFonts w:hint="eastAsia" w:ascii="Times New Roman" w:hAnsi="Times New Roman" w:cs="Times New Roman"/>
          <w:sz w:val="24"/>
          <w:szCs w:val="24"/>
        </w:rPr>
        <w:t>年）》、《海阳旅游度假区总体规划（</w:t>
      </w:r>
      <w:r>
        <w:rPr>
          <w:rFonts w:ascii="Times New Roman" w:hAnsi="Times New Roman" w:cs="Times New Roman"/>
          <w:sz w:val="24"/>
          <w:szCs w:val="24"/>
        </w:rPr>
        <w:t xml:space="preserve">2011-2025 </w:t>
      </w:r>
      <w:r>
        <w:rPr>
          <w:rFonts w:hint="eastAsia" w:ascii="Times New Roman" w:hAnsi="Times New Roman" w:cs="Times New Roman"/>
          <w:sz w:val="24"/>
          <w:szCs w:val="24"/>
        </w:rPr>
        <w:t>年）》</w:t>
      </w:r>
      <w:r>
        <w:rPr>
          <w:rFonts w:ascii="Times New Roman" w:hAnsi="Times New Roman" w:cs="Times New Roman"/>
          <w:sz w:val="24"/>
          <w:szCs w:val="24"/>
        </w:rPr>
        <w:t>等相关规划，充分考虑相关规划的用海需求，与相关规划衔接紧密。</w:t>
      </w:r>
    </w:p>
    <w:p>
      <w:pPr>
        <w:ind w:firstLine="560" w:firstLineChars="200"/>
        <w:rPr>
          <w:rFonts w:ascii="Times New Roman" w:hAnsi="Times New Roman" w:cs="Times New Roman"/>
          <w:sz w:val="28"/>
          <w:szCs w:val="28"/>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17</w:t>
    </w:r>
    <w:r>
      <w:rPr>
        <w:rFonts w:ascii="Times New Roman" w:hAnsi="Times New Roman" w:cs="Times New Roman"/>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96A"/>
    <w:rsid w:val="00010E8B"/>
    <w:rsid w:val="00045E29"/>
    <w:rsid w:val="00054F6C"/>
    <w:rsid w:val="00061D71"/>
    <w:rsid w:val="000640E3"/>
    <w:rsid w:val="00065CFA"/>
    <w:rsid w:val="00072D20"/>
    <w:rsid w:val="000A51CF"/>
    <w:rsid w:val="000A6995"/>
    <w:rsid w:val="000B0129"/>
    <w:rsid w:val="000C0BC0"/>
    <w:rsid w:val="000D7609"/>
    <w:rsid w:val="000E774C"/>
    <w:rsid w:val="001168F4"/>
    <w:rsid w:val="001236FB"/>
    <w:rsid w:val="0015577E"/>
    <w:rsid w:val="0016003D"/>
    <w:rsid w:val="001833EF"/>
    <w:rsid w:val="00187807"/>
    <w:rsid w:val="001A2FA6"/>
    <w:rsid w:val="001B3DB2"/>
    <w:rsid w:val="001C1A8C"/>
    <w:rsid w:val="001D0313"/>
    <w:rsid w:val="001D40C7"/>
    <w:rsid w:val="001D5C76"/>
    <w:rsid w:val="001D6D3C"/>
    <w:rsid w:val="001E5482"/>
    <w:rsid w:val="001E6400"/>
    <w:rsid w:val="002008CD"/>
    <w:rsid w:val="00223453"/>
    <w:rsid w:val="0023482C"/>
    <w:rsid w:val="00253FE3"/>
    <w:rsid w:val="0025796D"/>
    <w:rsid w:val="00257994"/>
    <w:rsid w:val="002601F6"/>
    <w:rsid w:val="00272CB6"/>
    <w:rsid w:val="002939CC"/>
    <w:rsid w:val="002A0798"/>
    <w:rsid w:val="002A0C33"/>
    <w:rsid w:val="002D0405"/>
    <w:rsid w:val="002F298A"/>
    <w:rsid w:val="003009B4"/>
    <w:rsid w:val="003231E8"/>
    <w:rsid w:val="00330B84"/>
    <w:rsid w:val="0033596A"/>
    <w:rsid w:val="00336399"/>
    <w:rsid w:val="00342535"/>
    <w:rsid w:val="00362FC4"/>
    <w:rsid w:val="00363163"/>
    <w:rsid w:val="00363D25"/>
    <w:rsid w:val="00364421"/>
    <w:rsid w:val="00364EC2"/>
    <w:rsid w:val="00375930"/>
    <w:rsid w:val="003833AE"/>
    <w:rsid w:val="00393D8E"/>
    <w:rsid w:val="003C01D4"/>
    <w:rsid w:val="003C40E2"/>
    <w:rsid w:val="003E0A05"/>
    <w:rsid w:val="003F13FB"/>
    <w:rsid w:val="00404B6D"/>
    <w:rsid w:val="00424A77"/>
    <w:rsid w:val="0043266E"/>
    <w:rsid w:val="00443870"/>
    <w:rsid w:val="00465BA5"/>
    <w:rsid w:val="0049270E"/>
    <w:rsid w:val="004A6DE1"/>
    <w:rsid w:val="004B7231"/>
    <w:rsid w:val="004D1419"/>
    <w:rsid w:val="004D2277"/>
    <w:rsid w:val="004E11D9"/>
    <w:rsid w:val="004E2E71"/>
    <w:rsid w:val="004F2613"/>
    <w:rsid w:val="004F4BF5"/>
    <w:rsid w:val="004F63AF"/>
    <w:rsid w:val="00503859"/>
    <w:rsid w:val="00510948"/>
    <w:rsid w:val="00521C2F"/>
    <w:rsid w:val="005265B8"/>
    <w:rsid w:val="00526E97"/>
    <w:rsid w:val="00531CB5"/>
    <w:rsid w:val="005453F5"/>
    <w:rsid w:val="005674AB"/>
    <w:rsid w:val="0057433C"/>
    <w:rsid w:val="00576C73"/>
    <w:rsid w:val="005A014C"/>
    <w:rsid w:val="005E3D02"/>
    <w:rsid w:val="005E4325"/>
    <w:rsid w:val="005E5E27"/>
    <w:rsid w:val="00611133"/>
    <w:rsid w:val="006267CB"/>
    <w:rsid w:val="0063350F"/>
    <w:rsid w:val="00637085"/>
    <w:rsid w:val="0064256F"/>
    <w:rsid w:val="00646A0F"/>
    <w:rsid w:val="00653432"/>
    <w:rsid w:val="0065508B"/>
    <w:rsid w:val="00661035"/>
    <w:rsid w:val="006818DB"/>
    <w:rsid w:val="00697A89"/>
    <w:rsid w:val="006B0E05"/>
    <w:rsid w:val="006B7B69"/>
    <w:rsid w:val="006C05AD"/>
    <w:rsid w:val="006C793D"/>
    <w:rsid w:val="006D377D"/>
    <w:rsid w:val="006F0215"/>
    <w:rsid w:val="006F29BD"/>
    <w:rsid w:val="00710977"/>
    <w:rsid w:val="00722244"/>
    <w:rsid w:val="00726A59"/>
    <w:rsid w:val="0073403A"/>
    <w:rsid w:val="00766CBD"/>
    <w:rsid w:val="007838DC"/>
    <w:rsid w:val="007B25D9"/>
    <w:rsid w:val="007E37F5"/>
    <w:rsid w:val="00813CD3"/>
    <w:rsid w:val="00821477"/>
    <w:rsid w:val="00836D3A"/>
    <w:rsid w:val="00854C83"/>
    <w:rsid w:val="0085679E"/>
    <w:rsid w:val="00884042"/>
    <w:rsid w:val="008A41F0"/>
    <w:rsid w:val="008C698D"/>
    <w:rsid w:val="008C7201"/>
    <w:rsid w:val="008D7EB7"/>
    <w:rsid w:val="008F7BF8"/>
    <w:rsid w:val="008F7ED3"/>
    <w:rsid w:val="00903A8E"/>
    <w:rsid w:val="00904F28"/>
    <w:rsid w:val="009164C3"/>
    <w:rsid w:val="00957BB1"/>
    <w:rsid w:val="009755D8"/>
    <w:rsid w:val="00977387"/>
    <w:rsid w:val="009875FA"/>
    <w:rsid w:val="009A3591"/>
    <w:rsid w:val="009A6DE9"/>
    <w:rsid w:val="009B01F6"/>
    <w:rsid w:val="009C3ECE"/>
    <w:rsid w:val="009C4DB7"/>
    <w:rsid w:val="009D42A2"/>
    <w:rsid w:val="009F02F3"/>
    <w:rsid w:val="009F71FC"/>
    <w:rsid w:val="00A02D6C"/>
    <w:rsid w:val="00A301B6"/>
    <w:rsid w:val="00A53AB1"/>
    <w:rsid w:val="00A75EC4"/>
    <w:rsid w:val="00A84FD5"/>
    <w:rsid w:val="00AA69C7"/>
    <w:rsid w:val="00AB208B"/>
    <w:rsid w:val="00AC15A7"/>
    <w:rsid w:val="00AC3277"/>
    <w:rsid w:val="00AC62BA"/>
    <w:rsid w:val="00AC7F72"/>
    <w:rsid w:val="00AD7B34"/>
    <w:rsid w:val="00AE5460"/>
    <w:rsid w:val="00AF7CE2"/>
    <w:rsid w:val="00AF7E6B"/>
    <w:rsid w:val="00B11132"/>
    <w:rsid w:val="00B1324D"/>
    <w:rsid w:val="00B235EB"/>
    <w:rsid w:val="00B2527D"/>
    <w:rsid w:val="00B27448"/>
    <w:rsid w:val="00B32B6C"/>
    <w:rsid w:val="00B358F9"/>
    <w:rsid w:val="00B411AE"/>
    <w:rsid w:val="00B53DF4"/>
    <w:rsid w:val="00B5727D"/>
    <w:rsid w:val="00B80239"/>
    <w:rsid w:val="00B93195"/>
    <w:rsid w:val="00BA5AC0"/>
    <w:rsid w:val="00BB2498"/>
    <w:rsid w:val="00BC36DC"/>
    <w:rsid w:val="00BE3B11"/>
    <w:rsid w:val="00BE4912"/>
    <w:rsid w:val="00BF05D4"/>
    <w:rsid w:val="00BF7D08"/>
    <w:rsid w:val="00C07A35"/>
    <w:rsid w:val="00C35EAA"/>
    <w:rsid w:val="00C442C8"/>
    <w:rsid w:val="00C47B35"/>
    <w:rsid w:val="00C513A4"/>
    <w:rsid w:val="00C55BD5"/>
    <w:rsid w:val="00C6430B"/>
    <w:rsid w:val="00C8178F"/>
    <w:rsid w:val="00C861E9"/>
    <w:rsid w:val="00C9431B"/>
    <w:rsid w:val="00CA31D6"/>
    <w:rsid w:val="00CA3331"/>
    <w:rsid w:val="00CA68C3"/>
    <w:rsid w:val="00CB613F"/>
    <w:rsid w:val="00CC798D"/>
    <w:rsid w:val="00CD0D1F"/>
    <w:rsid w:val="00CD0E0A"/>
    <w:rsid w:val="00CE3294"/>
    <w:rsid w:val="00D05770"/>
    <w:rsid w:val="00D203B6"/>
    <w:rsid w:val="00D37BBD"/>
    <w:rsid w:val="00D446FF"/>
    <w:rsid w:val="00D51AE1"/>
    <w:rsid w:val="00D74B46"/>
    <w:rsid w:val="00D76E08"/>
    <w:rsid w:val="00D77E04"/>
    <w:rsid w:val="00D81FFC"/>
    <w:rsid w:val="00D84ABB"/>
    <w:rsid w:val="00DA6B69"/>
    <w:rsid w:val="00DC3B9B"/>
    <w:rsid w:val="00DC6E89"/>
    <w:rsid w:val="00DD5C0A"/>
    <w:rsid w:val="00E14F0D"/>
    <w:rsid w:val="00E17A96"/>
    <w:rsid w:val="00E2187C"/>
    <w:rsid w:val="00E264AD"/>
    <w:rsid w:val="00E33042"/>
    <w:rsid w:val="00E60315"/>
    <w:rsid w:val="00EA38C6"/>
    <w:rsid w:val="00EA42B0"/>
    <w:rsid w:val="00EB2538"/>
    <w:rsid w:val="00EB2FFB"/>
    <w:rsid w:val="00EF3D57"/>
    <w:rsid w:val="00EF6160"/>
    <w:rsid w:val="00F04D1B"/>
    <w:rsid w:val="00F0692C"/>
    <w:rsid w:val="00F20048"/>
    <w:rsid w:val="00F23C45"/>
    <w:rsid w:val="00F2569D"/>
    <w:rsid w:val="00F321F7"/>
    <w:rsid w:val="00F3310B"/>
    <w:rsid w:val="00F346F4"/>
    <w:rsid w:val="00F51A22"/>
    <w:rsid w:val="00F51C32"/>
    <w:rsid w:val="00F636F0"/>
    <w:rsid w:val="00F646A2"/>
    <w:rsid w:val="00F84CE0"/>
    <w:rsid w:val="00F94B24"/>
    <w:rsid w:val="00F95B3F"/>
    <w:rsid w:val="00F97E0F"/>
    <w:rsid w:val="00FA1061"/>
    <w:rsid w:val="00FA36E6"/>
    <w:rsid w:val="00FA6AC5"/>
    <w:rsid w:val="00FC39AC"/>
    <w:rsid w:val="00FC48C0"/>
    <w:rsid w:val="00FE1424"/>
    <w:rsid w:val="00FF515F"/>
    <w:rsid w:val="11CC2861"/>
    <w:rsid w:val="2DE61A43"/>
    <w:rsid w:val="3AD62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rFonts w:ascii="Calibri" w:hAnsi="Calibri" w:eastAsia="仿宋_GB2312" w:cs="Times New Roman"/>
      <w:b/>
      <w:kern w:val="44"/>
      <w:sz w:val="44"/>
      <w:szCs w:val="20"/>
      <w:lang w:val="zh-CN" w:eastAsia="zh-CN"/>
    </w:rPr>
  </w:style>
  <w:style w:type="paragraph" w:styleId="3">
    <w:name w:val="heading 2"/>
    <w:basedOn w:val="1"/>
    <w:next w:val="1"/>
    <w:link w:val="16"/>
    <w:qFormat/>
    <w:uiPriority w:val="0"/>
    <w:pPr>
      <w:keepNext/>
      <w:keepLines/>
      <w:spacing w:before="120" w:after="120" w:line="360" w:lineRule="auto"/>
      <w:outlineLvl w:val="1"/>
    </w:pPr>
    <w:rPr>
      <w:rFonts w:ascii="楷体" w:hAnsi="楷体" w:eastAsia="楷体" w:cs="Times New Roman"/>
      <w:b/>
      <w:kern w:val="0"/>
      <w:sz w:val="32"/>
      <w:szCs w:val="20"/>
      <w:lang w:val="zh-CN" w:eastAsia="zh-CN"/>
    </w:rPr>
  </w:style>
  <w:style w:type="character" w:default="1" w:styleId="9">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iPriority w:val="39"/>
    <w:rPr>
      <w:rFonts w:ascii="Calibri" w:hAnsi="Calibri" w:eastAsia="仿宋_GB2312" w:cs="Times New Roman"/>
      <w:sz w:val="32"/>
      <w:szCs w:val="20"/>
    </w:rPr>
  </w:style>
  <w:style w:type="paragraph" w:styleId="7">
    <w:name w:val="toc 2"/>
    <w:basedOn w:val="1"/>
    <w:next w:val="1"/>
    <w:uiPriority w:val="39"/>
    <w:pPr>
      <w:tabs>
        <w:tab w:val="right" w:leader="dot" w:pos="8296"/>
      </w:tabs>
      <w:ind w:left="420" w:leftChars="200"/>
    </w:pPr>
    <w:rPr>
      <w:rFonts w:ascii="仿宋_GB2312" w:hAnsi="楷体" w:eastAsia="仿宋_GB2312" w:cs="Times New Roman"/>
      <w:kern w:val="0"/>
      <w:sz w:val="32"/>
      <w:szCs w:val="20"/>
      <w:lang w:val="zh-CN" w:eastAsia="zh-CN"/>
    </w:rPr>
  </w:style>
  <w:style w:type="paragraph" w:styleId="8">
    <w:name w:val="Title"/>
    <w:basedOn w:val="1"/>
    <w:next w:val="1"/>
    <w:link w:val="17"/>
    <w:qFormat/>
    <w:uiPriority w:val="0"/>
    <w:pPr>
      <w:spacing w:before="240" w:after="60"/>
      <w:jc w:val="center"/>
      <w:outlineLvl w:val="0"/>
    </w:pPr>
    <w:rPr>
      <w:rFonts w:ascii="Cambria" w:hAnsi="Cambria" w:eastAsia="宋体" w:cs="Times New Roman"/>
      <w:b/>
      <w:kern w:val="0"/>
      <w:sz w:val="32"/>
      <w:szCs w:val="20"/>
      <w:lang w:val="zh-CN" w:eastAsia="zh-CN"/>
    </w:rPr>
  </w:style>
  <w:style w:type="character" w:styleId="10">
    <w:name w:val="Hyperlink"/>
    <w:qFormat/>
    <w:uiPriority w:val="99"/>
    <w:rPr>
      <w:color w:val="0000FF"/>
      <w:u w:val="single"/>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标题 1 字符"/>
    <w:basedOn w:val="9"/>
    <w:link w:val="2"/>
    <w:qFormat/>
    <w:uiPriority w:val="0"/>
    <w:rPr>
      <w:rFonts w:ascii="Calibri" w:hAnsi="Calibri" w:eastAsia="仿宋_GB2312" w:cs="Times New Roman"/>
      <w:b/>
      <w:kern w:val="44"/>
      <w:sz w:val="44"/>
      <w:szCs w:val="20"/>
      <w:lang w:val="zh-CN" w:eastAsia="zh-CN"/>
    </w:rPr>
  </w:style>
  <w:style w:type="character" w:customStyle="1" w:styleId="16">
    <w:name w:val="标题 2 字符"/>
    <w:basedOn w:val="9"/>
    <w:link w:val="3"/>
    <w:qFormat/>
    <w:uiPriority w:val="0"/>
    <w:rPr>
      <w:rFonts w:ascii="楷体" w:hAnsi="楷体" w:eastAsia="楷体" w:cs="Times New Roman"/>
      <w:b/>
      <w:kern w:val="0"/>
      <w:sz w:val="32"/>
      <w:szCs w:val="20"/>
      <w:lang w:val="zh-CN" w:eastAsia="zh-CN"/>
    </w:rPr>
  </w:style>
  <w:style w:type="character" w:customStyle="1" w:styleId="17">
    <w:name w:val="标题 字符"/>
    <w:basedOn w:val="9"/>
    <w:link w:val="8"/>
    <w:qFormat/>
    <w:uiPriority w:val="0"/>
    <w:rPr>
      <w:rFonts w:ascii="Cambria" w:hAnsi="Cambria" w:eastAsia="宋体" w:cs="Times New Roman"/>
      <w:b/>
      <w:kern w:val="0"/>
      <w:sz w:val="32"/>
      <w:szCs w:val="20"/>
      <w:lang w:val="zh-CN" w:eastAsia="zh-CN"/>
    </w:rPr>
  </w:style>
  <w:style w:type="paragraph" w:styleId="18">
    <w:name w:val="List Paragraph"/>
    <w:basedOn w:val="1"/>
    <w:qFormat/>
    <w:uiPriority w:val="34"/>
    <w:pPr>
      <w:ind w:firstLine="420" w:firstLineChars="200"/>
    </w:pPr>
  </w:style>
  <w:style w:type="character" w:customStyle="1" w:styleId="19">
    <w:name w:val="bjh-p"/>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oleObject" Target="embeddings/oleObject10.bin"/><Relationship Id="rId21" Type="http://schemas.openxmlformats.org/officeDocument/2006/relationships/oleObject" Target="embeddings/oleObject9.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42DAC9-D146-4D94-BE27-A9B3C08A3C42}">
  <ds:schemaRefs/>
</ds:datastoreItem>
</file>

<file path=docProps/app.xml><?xml version="1.0" encoding="utf-8"?>
<Properties xmlns="http://schemas.openxmlformats.org/officeDocument/2006/extended-properties" xmlns:vt="http://schemas.openxmlformats.org/officeDocument/2006/docPropsVTypes">
  <Template>Normal</Template>
  <Pages>17</Pages>
  <Words>1971</Words>
  <Characters>11235</Characters>
  <Lines>93</Lines>
  <Paragraphs>26</Paragraphs>
  <TotalTime>625</TotalTime>
  <ScaleCrop>false</ScaleCrop>
  <LinksUpToDate>false</LinksUpToDate>
  <CharactersWithSpaces>13180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2017-08-02T00:13:00Z</dcterms:created>
  <dc:creator>Tangyongzheng</dc:creator>
  <cp:lastModifiedBy>HP</cp:lastModifiedBy>
  <cp:lastPrinted>2018-09-28T02:45:00Z</cp:lastPrinted>
  <dcterms:modified xsi:type="dcterms:W3CDTF">2021-08-19T08:10:12Z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