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rFonts w:cs="Times New Roman"/>
          <w:color w:val="333333"/>
          <w:spacing w:val="15"/>
          <w:shd w:val="clear" w:color="auto" w:fill="FFFFFF"/>
        </w:rPr>
      </w:pPr>
      <w:r>
        <w:rPr>
          <w:rFonts w:hint="eastAsia" w:cs="宋体"/>
          <w:color w:val="333333"/>
          <w:spacing w:val="15"/>
          <w:shd w:val="clear" w:color="auto" w:fill="FFFFFF"/>
        </w:rPr>
        <w:t>附件</w:t>
      </w:r>
      <w:r>
        <w:rPr>
          <w:color w:val="333333"/>
          <w:spacing w:val="15"/>
          <w:shd w:val="clear" w:color="auto" w:fill="FFFFFF"/>
        </w:rPr>
        <w:t>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海阳市审计局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纸面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电子邮件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光盘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磁盘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快递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□电子邮件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当场阅读、抄录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>
      <w:pPr>
        <w:rPr>
          <w:rFonts w:cs="Times New Roman"/>
          <w:color w:val="3333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3689"/>
    <w:rsid w:val="661B3689"/>
    <w:rsid w:val="6C7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2019-05-15T01:45:00Z</dcterms:created>
  <dc:creator>Administrator</dc:creator>
  <cp:lastModifiedBy>崔家荣</cp:lastModifiedBy>
  <dcterms:modified xsi:type="dcterms:W3CDTF">2019-05-20T07:58:28Z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