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563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809"/>
        <w:gridCol w:w="709"/>
        <w:gridCol w:w="5311"/>
        <w:gridCol w:w="1226"/>
        <w:gridCol w:w="834"/>
        <w:gridCol w:w="1002"/>
        <w:gridCol w:w="982"/>
        <w:gridCol w:w="851"/>
        <w:gridCol w:w="768"/>
        <w:gridCol w:w="658"/>
        <w:gridCol w:w="879"/>
        <w:gridCol w:w="572"/>
        <w:gridCol w:w="5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6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财政预决算领域基层政务公开标准目录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53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公开内容（要素）及要求</w:t>
            </w:r>
          </w:p>
        </w:tc>
        <w:tc>
          <w:tcPr>
            <w:tcW w:w="12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8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9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公开渠道和载体</w:t>
            </w: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一级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事项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二级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事项</w:t>
            </w:r>
          </w:p>
        </w:tc>
        <w:tc>
          <w:tcPr>
            <w:tcW w:w="53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0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特定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群体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依申请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乡级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48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8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财政预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决算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政府预算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一般公共预算：①一般公共预算收入表。②一般公共预算支出表。③一般公共预算本级支出表。④一般公共预算本级基本支出表。⑤一般公共预算税收返还和转移支付表。⑥政府一般债务限额和余额情况表。</w:t>
            </w:r>
          </w:p>
        </w:tc>
        <w:tc>
          <w:tcPr>
            <w:tcW w:w="122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中华人民共和国预算法》、《中华人民共和国政府信息公开条例》、《财政部关于印发&lt;地方预决算公开操作规程的通知&gt;》（财预〔2016〕143号）、《财政部关于印发&lt;地方政府债务信息公开办法（试行）&gt;的通知》（财预〔2018〕209号）等法律法规和文件规定</w:t>
            </w:r>
          </w:p>
        </w:tc>
        <w:tc>
          <w:tcPr>
            <w:tcW w:w="83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本级人民代表大会或其常务委员会批准后20日内</w:t>
            </w:r>
          </w:p>
        </w:tc>
        <w:tc>
          <w:tcPr>
            <w:tcW w:w="10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各镇街</w:t>
            </w:r>
          </w:p>
        </w:tc>
        <w:tc>
          <w:tcPr>
            <w:tcW w:w="98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政府网站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5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7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4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政府性基金预算：①政府性基金收入表。②政府性基金支出表。③政府性基金转移支付表。④政府专项债务限额和余额情况表。</w:t>
            </w:r>
          </w:p>
        </w:tc>
        <w:tc>
          <w:tcPr>
            <w:tcW w:w="12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4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国有资本经营预算：①国有资本经营预算收入表。②国有资本经营预算支出表。</w:t>
            </w:r>
          </w:p>
        </w:tc>
        <w:tc>
          <w:tcPr>
            <w:tcW w:w="12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社会保险基金预算：①社会保险基金收入表。②社会保险基金支出表。</w:t>
            </w:r>
          </w:p>
        </w:tc>
        <w:tc>
          <w:tcPr>
            <w:tcW w:w="12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4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地方一般公共预算、政府性基金预算、国有资本经营预算和社会保险基金预算报表中涉及本级支出的，应当公开到功能分类项级科目。本级一般公共预算基本支出应当公开到经济性质分类款级科目。</w:t>
            </w:r>
          </w:p>
        </w:tc>
        <w:tc>
          <w:tcPr>
            <w:tcW w:w="12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对财政转移支付安排、举借政府债务等重要事项进行解释、说明，并公开重大政策和重点项目等绩效目标。</w:t>
            </w:r>
          </w:p>
        </w:tc>
        <w:tc>
          <w:tcPr>
            <w:tcW w:w="12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4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方本级汇总的一般公共预算“三公”经费，包括预算总额，以及“因公出国（境）费”“公务用车购置及运行费”（区分“公务用车购置费”“公务用车运行费”两项）、“公务接待费”分项数额，并对增减变化情况进行说明。</w:t>
            </w:r>
          </w:p>
        </w:tc>
        <w:tc>
          <w:tcPr>
            <w:tcW w:w="12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</w:trPr>
        <w:tc>
          <w:tcPr>
            <w:tcW w:w="4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方政府债务限额、余额、使用安排及还本付息等信息，包括：①随同预算公开上一年度本地区、本级及所属地区地方政府债务限额及余额（或余额预计执行数），以及本地区和本级上一年度地方政府债券（含再融资债券）发行及还本付息额（或预计执行数）、本年度地方政府债券还本付息预算数等；②随同调整预算公开当年本地区及本级地方政府债务限额、本级新增地方政府债券资金使用安排等。</w:t>
            </w:r>
          </w:p>
        </w:tc>
        <w:tc>
          <w:tcPr>
            <w:tcW w:w="12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没有数据的表格应当列出空表并说明。</w:t>
            </w:r>
          </w:p>
        </w:tc>
        <w:tc>
          <w:tcPr>
            <w:tcW w:w="12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rPr>
          <w:rFonts w:cs="Arial" w:asciiTheme="minorEastAsia" w:hAnsiTheme="minorEastAsia"/>
          <w:color w:val="191919"/>
          <w:kern w:val="0"/>
          <w:sz w:val="30"/>
          <w:szCs w:val="30"/>
        </w:rPr>
      </w:pPr>
    </w:p>
    <w:tbl>
      <w:tblPr>
        <w:tblStyle w:val="5"/>
        <w:tblW w:w="1575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"/>
        <w:gridCol w:w="884"/>
        <w:gridCol w:w="709"/>
        <w:gridCol w:w="5245"/>
        <w:gridCol w:w="1275"/>
        <w:gridCol w:w="851"/>
        <w:gridCol w:w="992"/>
        <w:gridCol w:w="992"/>
        <w:gridCol w:w="851"/>
        <w:gridCol w:w="709"/>
        <w:gridCol w:w="708"/>
        <w:gridCol w:w="851"/>
        <w:gridCol w:w="709"/>
        <w:gridCol w:w="5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57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4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52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公开内容（要素）及要求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公开渠道和载体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4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一级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事项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二级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事项</w:t>
            </w:r>
          </w:p>
        </w:tc>
        <w:tc>
          <w:tcPr>
            <w:tcW w:w="5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特定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群体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依申请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乡级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40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财政预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决算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决算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一般公共预算：①一般公共预算收入表。②一般公共预算支出表。③一般公共预算本级支出表。④一般公共预算本级基本支出表。⑤一般公共预算税收返还和转移支付表。⑥政府一般债务限额和余额情况表。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中华人民共和国预算法》、《中华人民共和国政府信息公开条例》、《财政部关于印发&lt;地方预决算公开操作规程的通知&gt;》（财预〔2016〕143号）、《财政部关于印发&lt;地方政府债务信息公开办法（试行）&gt;的通知》（财预〔2018〕209号）等法律法规和文件规定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本级人民代表大会或其常务委员会批准后20日内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各镇街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政府网站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40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政府性基金预算：①政府性基金收入表。②政府性基金支出表。③政府性基金转移支付表。④政府专项债务限额和余额情况表。</w:t>
            </w: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40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国有资本经营预算：①国有资本经营预算收入表。②国有资本经营预算支出表。</w:t>
            </w: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0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社会保险基金预算：①社会保险基金收入表。②社会保险基金支出表。</w:t>
            </w: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40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地方一般公共预算、政府性基金预算、国有资本经营预算和社会保险基金预算报表中涉及本级支出的，应当公开到功能分类项级科目。本级一般公共预算基本支出应当公开到经济性质分类款级科目。</w:t>
            </w: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40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对财政转移支付安排、举借政府债务、预算绩效工作开展情况等重要事项进行解释、说明，并公开重大政策和重点项目绩效执行结果。</w:t>
            </w: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40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方本级汇总的一般公共预算“三公”经费，包括预算总额，以及“因公出国（境）费”“公务用车购置及运行费”（区分“公务用车购置费”“公务用车运行费”两项）“公务接待费”分项数额，并对增减变化情况（与预算对比）进行说明。</w:t>
            </w: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40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地方政府债务限额、余额、使用安排及还本付息等信息，包括：上年末本地区、本级及所属地区地方政府债务限额、余额决算数，地方政府债券发行、还本付息决算数，以及债券资金使用安排等。</w:t>
            </w: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40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没有数据的表格应当列出空表并说明。</w:t>
            </w: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snapToGrid w:val="0"/>
        <w:rPr>
          <w:rFonts w:cs="Arial" w:asciiTheme="minorEastAsia" w:hAnsiTheme="minorEastAsia"/>
          <w:color w:val="191919"/>
          <w:kern w:val="0"/>
          <w:sz w:val="18"/>
          <w:szCs w:val="18"/>
        </w:rPr>
      </w:pPr>
    </w:p>
    <w:sectPr>
      <w:pgSz w:w="16840" w:h="11907" w:orient="landscape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373D"/>
    <w:rsid w:val="0006193D"/>
    <w:rsid w:val="000B55DD"/>
    <w:rsid w:val="001646A5"/>
    <w:rsid w:val="001D4157"/>
    <w:rsid w:val="001E30F3"/>
    <w:rsid w:val="002748FC"/>
    <w:rsid w:val="002A363B"/>
    <w:rsid w:val="0042373D"/>
    <w:rsid w:val="004C662C"/>
    <w:rsid w:val="00564F19"/>
    <w:rsid w:val="007843E7"/>
    <w:rsid w:val="009614DF"/>
    <w:rsid w:val="00D71691"/>
    <w:rsid w:val="00E55348"/>
    <w:rsid w:val="00E621FF"/>
    <w:rsid w:val="00F74978"/>
    <w:rsid w:val="1BC725D8"/>
    <w:rsid w:val="1C900E7F"/>
    <w:rsid w:val="1E320B91"/>
    <w:rsid w:val="2B943FAC"/>
    <w:rsid w:val="41B93235"/>
    <w:rsid w:val="4D9C1D1E"/>
    <w:rsid w:val="587E37B0"/>
    <w:rsid w:val="713629FF"/>
    <w:rsid w:val="7782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ql-align-cent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fy</Company>
  <Pages>7</Pages>
  <Words>786</Words>
  <Characters>4486</Characters>
  <Lines>37</Lines>
  <Paragraphs>10</Paragraphs>
  <TotalTime>0</TotalTime>
  <ScaleCrop>false</ScaleCrop>
  <LinksUpToDate>false</LinksUpToDate>
  <CharactersWithSpaces>5262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2020-09-17T01:06:00Z</dcterms:created>
  <dc:creator>s</dc:creator>
  <cp:lastModifiedBy>小风微凉</cp:lastModifiedBy>
  <dcterms:modified xsi:type="dcterms:W3CDTF">2020-12-10T07:02:15Z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