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643" w:firstLineChars="200"/>
        <w:jc w:val="center"/>
        <w:textAlignment w:val="auto"/>
        <w:outlineLvl w:val="9"/>
        <w:rPr>
          <w:rFonts w:hint="eastAsia" w:ascii="仿宋_GB2312" w:hAnsi="仿宋_GB2312" w:eastAsia="仿宋_GB2312" w:cs="仿宋_GB2312"/>
          <w:b w:val="0"/>
          <w:i w:val="0"/>
          <w:caps w:val="0"/>
          <w:color w:val="auto"/>
          <w:spacing w:val="0"/>
          <w:sz w:val="32"/>
          <w:szCs w:val="32"/>
        </w:rPr>
      </w:pPr>
      <w:r>
        <w:rPr>
          <w:rStyle w:val="7"/>
          <w:rFonts w:hint="eastAsia" w:ascii="仿宋_GB2312" w:hAnsi="仿宋_GB2312" w:eastAsia="仿宋_GB2312" w:cs="仿宋_GB2312"/>
          <w:i w:val="0"/>
          <w:caps w:val="0"/>
          <w:color w:val="auto"/>
          <w:spacing w:val="0"/>
          <w:sz w:val="32"/>
          <w:szCs w:val="32"/>
          <w:shd w:val="clear" w:fill="FFFFFF"/>
        </w:rPr>
        <w:t>中华人民共和国财政部 国家档案局令第79号</w:t>
      </w:r>
      <w:bookmarkStart w:id="1" w:name="_GoBack"/>
      <w:bookmarkEnd w:id="1"/>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《会计档案管理办法》已经财政部部务会议、国家档案局局务会议修订通过，现将修订后的《会计档案管理办法》公布，自2016年1月1日起施行。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righ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中华人民共和国财政部部长 楼继伟</w:t>
      </w:r>
      <w:r>
        <w:rPr>
          <w:rFonts w:hint="eastAsia" w:ascii="仿宋_GB2312" w:hAnsi="仿宋_GB2312" w:eastAsia="仿宋_GB2312" w:cs="仿宋_GB2312"/>
          <w:b w:val="0"/>
          <w:i w:val="0"/>
          <w:caps w:val="0"/>
          <w:color w:val="auto"/>
          <w:spacing w:val="0"/>
          <w:sz w:val="28"/>
          <w:szCs w:val="28"/>
          <w:shd w:val="clear" w:fill="FFFFFF"/>
        </w:rPr>
        <w:br w:type="textWrapping"/>
      </w:r>
      <w:r>
        <w:rPr>
          <w:rFonts w:hint="eastAsia" w:ascii="仿宋_GB2312" w:hAnsi="仿宋_GB2312" w:eastAsia="仿宋_GB2312" w:cs="仿宋_GB2312"/>
          <w:b w:val="0"/>
          <w:i w:val="0"/>
          <w:caps w:val="0"/>
          <w:color w:val="auto"/>
          <w:spacing w:val="0"/>
          <w:sz w:val="28"/>
          <w:szCs w:val="28"/>
          <w:shd w:val="clear" w:fill="FFFFFF"/>
        </w:rPr>
        <w:t>国家档案局局长 李明华 </w:t>
      </w:r>
      <w:r>
        <w:rPr>
          <w:rFonts w:hint="eastAsia" w:ascii="仿宋_GB2312" w:hAnsi="仿宋_GB2312" w:eastAsia="仿宋_GB2312" w:cs="仿宋_GB2312"/>
          <w:b w:val="0"/>
          <w:i w:val="0"/>
          <w:caps w:val="0"/>
          <w:color w:val="auto"/>
          <w:spacing w:val="0"/>
          <w:sz w:val="28"/>
          <w:szCs w:val="28"/>
          <w:shd w:val="clear" w:fill="FFFFFF"/>
        </w:rPr>
        <w:br w:type="textWrapping"/>
      </w:r>
      <w:r>
        <w:rPr>
          <w:rFonts w:hint="eastAsia" w:ascii="仿宋_GB2312" w:hAnsi="仿宋_GB2312" w:eastAsia="仿宋_GB2312" w:cs="仿宋_GB2312"/>
          <w:b w:val="0"/>
          <w:i w:val="0"/>
          <w:caps w:val="0"/>
          <w:color w:val="auto"/>
          <w:spacing w:val="0"/>
          <w:sz w:val="28"/>
          <w:szCs w:val="28"/>
          <w:shd w:val="clear" w:fill="FFFFFF"/>
        </w:rPr>
        <w:t>2015年12月11日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883" w:firstLineChars="200"/>
        <w:jc w:val="center"/>
        <w:textAlignment w:val="auto"/>
        <w:outlineLvl w:val="9"/>
        <w:rPr>
          <w:rStyle w:val="7"/>
          <w:rFonts w:hint="eastAsia" w:ascii="黑体" w:hAnsi="黑体" w:eastAsia="黑体" w:cs="黑体"/>
          <w:i w:val="0"/>
          <w:caps w:val="0"/>
          <w:color w:val="auto"/>
          <w:spacing w:val="0"/>
          <w:sz w:val="44"/>
          <w:szCs w:val="44"/>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883" w:firstLineChars="200"/>
        <w:jc w:val="center"/>
        <w:textAlignment w:val="auto"/>
        <w:outlineLvl w:val="9"/>
        <w:rPr>
          <w:rFonts w:hint="eastAsia" w:ascii="黑体" w:hAnsi="黑体" w:eastAsia="黑体" w:cs="黑体"/>
          <w:b w:val="0"/>
          <w:i w:val="0"/>
          <w:caps w:val="0"/>
          <w:color w:val="auto"/>
          <w:spacing w:val="0"/>
          <w:sz w:val="44"/>
          <w:szCs w:val="44"/>
        </w:rPr>
      </w:pPr>
      <w:r>
        <w:rPr>
          <w:rStyle w:val="7"/>
          <w:rFonts w:hint="eastAsia" w:ascii="黑体" w:hAnsi="黑体" w:eastAsia="黑体" w:cs="黑体"/>
          <w:i w:val="0"/>
          <w:caps w:val="0"/>
          <w:color w:val="auto"/>
          <w:spacing w:val="0"/>
          <w:sz w:val="44"/>
          <w:szCs w:val="44"/>
          <w:shd w:val="clear" w:fill="FFFFFF"/>
        </w:rPr>
        <w:t>会计档案管理办法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shd w:val="clear" w:fill="FFFFFF"/>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第一条 为了加强会计档案管理，有效保护和利用会计档案，根据《中华人民共和国会计法》《中华人民共和国档案法》等有关法律和行政法规，制定本办法。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第二条 国家机关、社会团体、企业、事业单位和其他组织（以下统称单位）</w:t>
      </w:r>
      <w:r>
        <w:rPr>
          <w:rFonts w:hint="eastAsia" w:ascii="仿宋_GB2312" w:hAnsi="仿宋_GB2312" w:eastAsia="仿宋_GB2312" w:cs="仿宋_GB2312"/>
          <w:b w:val="0"/>
          <w:i w:val="0"/>
          <w:caps w:val="0"/>
          <w:color w:val="auto"/>
          <w:spacing w:val="0"/>
          <w:sz w:val="28"/>
          <w:szCs w:val="28"/>
          <w:u w:val="none"/>
          <w:shd w:val="clear" w:fill="FFFFFF"/>
        </w:rPr>
        <w:fldChar w:fldCharType="begin"/>
      </w:r>
      <w:r>
        <w:rPr>
          <w:rFonts w:hint="eastAsia" w:ascii="仿宋_GB2312" w:hAnsi="仿宋_GB2312" w:eastAsia="仿宋_GB2312" w:cs="仿宋_GB2312"/>
          <w:b w:val="0"/>
          <w:i w:val="0"/>
          <w:caps w:val="0"/>
          <w:color w:val="auto"/>
          <w:spacing w:val="0"/>
          <w:sz w:val="28"/>
          <w:szCs w:val="28"/>
          <w:u w:val="none"/>
          <w:shd w:val="clear" w:fill="FFFFFF"/>
        </w:rPr>
        <w:instrText xml:space="preserve"> HYPERLINK "http://www.chinaacc.com/kuaijishiwu/glkj/" \o "管理会计" \t "http://www.chinaacc.com/zyczfg/_blank" </w:instrText>
      </w:r>
      <w:r>
        <w:rPr>
          <w:rFonts w:hint="eastAsia" w:ascii="仿宋_GB2312" w:hAnsi="仿宋_GB2312" w:eastAsia="仿宋_GB2312" w:cs="仿宋_GB2312"/>
          <w:b w:val="0"/>
          <w:i w:val="0"/>
          <w:caps w:val="0"/>
          <w:color w:val="auto"/>
          <w:spacing w:val="0"/>
          <w:sz w:val="28"/>
          <w:szCs w:val="28"/>
          <w:u w:val="none"/>
          <w:shd w:val="clear" w:fill="FFFFFF"/>
        </w:rPr>
        <w:fldChar w:fldCharType="separate"/>
      </w:r>
      <w:r>
        <w:rPr>
          <w:rStyle w:val="8"/>
          <w:rFonts w:hint="eastAsia" w:ascii="仿宋_GB2312" w:hAnsi="仿宋_GB2312" w:eastAsia="仿宋_GB2312" w:cs="仿宋_GB2312"/>
          <w:b w:val="0"/>
          <w:i w:val="0"/>
          <w:caps w:val="0"/>
          <w:color w:val="auto"/>
          <w:spacing w:val="0"/>
          <w:sz w:val="28"/>
          <w:szCs w:val="28"/>
          <w:u w:val="none"/>
          <w:shd w:val="clear" w:fill="FFFFFF"/>
        </w:rPr>
        <w:t>管理会计</w:t>
      </w:r>
      <w:r>
        <w:rPr>
          <w:rFonts w:hint="eastAsia" w:ascii="仿宋_GB2312" w:hAnsi="仿宋_GB2312" w:eastAsia="仿宋_GB2312" w:cs="仿宋_GB2312"/>
          <w:b w:val="0"/>
          <w:i w:val="0"/>
          <w:caps w:val="0"/>
          <w:color w:val="auto"/>
          <w:spacing w:val="0"/>
          <w:sz w:val="28"/>
          <w:szCs w:val="28"/>
          <w:u w:val="none"/>
          <w:shd w:val="clear" w:fill="FFFFFF"/>
        </w:rPr>
        <w:fldChar w:fldCharType="end"/>
      </w:r>
      <w:r>
        <w:rPr>
          <w:rFonts w:hint="eastAsia" w:ascii="仿宋_GB2312" w:hAnsi="仿宋_GB2312" w:eastAsia="仿宋_GB2312" w:cs="仿宋_GB2312"/>
          <w:b w:val="0"/>
          <w:i w:val="0"/>
          <w:caps w:val="0"/>
          <w:color w:val="auto"/>
          <w:spacing w:val="0"/>
          <w:sz w:val="28"/>
          <w:szCs w:val="28"/>
          <w:shd w:val="clear" w:fill="FFFFFF"/>
        </w:rPr>
        <w:t>档案适用本办法。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第三条 本办法所称会计档案是指单位在进行会计核算等过程中接收或形成的，记录和反映单位经济业务事项的，具有保存价值的文字、图表等各种形式的会计资料，包括通过计算机等电子设备形成、传输和存储的电子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第四条 财政部和国家档案局主管全国会计档案工作，共同制定全国统一的会计档案工作制度，对全国会计档案工作实行监督和指导。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县级以上地方人民政府财政部门和档案行政管理部门管理本行政区域内的会计档案工作，并对本行政区域内会计档案工作实行监督和指导。</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第五条 单位应当加强会计档案管理工作，建立和完善会计档案的收集、整理、保管、利用和鉴定销毁等管理制度，采取可靠的安全防护技术和措施，保证会计档案的真实、完整、可用、安全。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单位的档案机构或者档案工作人员所属机构（以下统称单位档案管理机构）负责管理本单位的会计档案。单位也可以委托具备档案管理条件的机构代为管理会计档案。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第六条 下列会计资料应当进行归档：</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（一）会计凭证，包括原始凭证、记账凭证；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（二）会计账簿，包括总账、明细账、日记账、固定资产卡片及其他辅助性账簿；</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（三）财务会计报告，包括月度、季度、半年度、年度财务会计报告；</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（四）其他会计资料，包括</w:t>
      </w:r>
      <w:r>
        <w:rPr>
          <w:rFonts w:hint="eastAsia" w:ascii="仿宋_GB2312" w:hAnsi="仿宋_GB2312" w:eastAsia="仿宋_GB2312" w:cs="仿宋_GB2312"/>
          <w:b w:val="0"/>
          <w:i w:val="0"/>
          <w:caps w:val="0"/>
          <w:color w:val="auto"/>
          <w:spacing w:val="0"/>
          <w:sz w:val="28"/>
          <w:szCs w:val="28"/>
          <w:u w:val="none"/>
          <w:shd w:val="clear" w:fill="FFFFFF"/>
        </w:rPr>
        <w:fldChar w:fldCharType="begin"/>
      </w:r>
      <w:r>
        <w:rPr>
          <w:rFonts w:hint="eastAsia" w:ascii="仿宋_GB2312" w:hAnsi="仿宋_GB2312" w:eastAsia="仿宋_GB2312" w:cs="仿宋_GB2312"/>
          <w:b w:val="0"/>
          <w:i w:val="0"/>
          <w:caps w:val="0"/>
          <w:color w:val="auto"/>
          <w:spacing w:val="0"/>
          <w:sz w:val="28"/>
          <w:szCs w:val="28"/>
          <w:u w:val="none"/>
          <w:shd w:val="clear" w:fill="FFFFFF"/>
        </w:rPr>
        <w:instrText xml:space="preserve"> HYPERLINK "http://www.chinaacc.com/kuaijishiwu/" \o "银行存款余额调节表" \t "http://www.chinaacc.com/zyczfg/_blank" </w:instrText>
      </w:r>
      <w:r>
        <w:rPr>
          <w:rFonts w:hint="eastAsia" w:ascii="仿宋_GB2312" w:hAnsi="仿宋_GB2312" w:eastAsia="仿宋_GB2312" w:cs="仿宋_GB2312"/>
          <w:b w:val="0"/>
          <w:i w:val="0"/>
          <w:caps w:val="0"/>
          <w:color w:val="auto"/>
          <w:spacing w:val="0"/>
          <w:sz w:val="28"/>
          <w:szCs w:val="28"/>
          <w:u w:val="none"/>
          <w:shd w:val="clear" w:fill="FFFFFF"/>
        </w:rPr>
        <w:fldChar w:fldCharType="separate"/>
      </w:r>
      <w:r>
        <w:rPr>
          <w:rStyle w:val="8"/>
          <w:rFonts w:hint="eastAsia" w:ascii="仿宋_GB2312" w:hAnsi="仿宋_GB2312" w:eastAsia="仿宋_GB2312" w:cs="仿宋_GB2312"/>
          <w:b w:val="0"/>
          <w:i w:val="0"/>
          <w:caps w:val="0"/>
          <w:color w:val="auto"/>
          <w:spacing w:val="0"/>
          <w:sz w:val="28"/>
          <w:szCs w:val="28"/>
          <w:u w:val="none"/>
          <w:shd w:val="clear" w:fill="FFFFFF"/>
        </w:rPr>
        <w:t>银行存款余额调节表</w:t>
      </w:r>
      <w:r>
        <w:rPr>
          <w:rFonts w:hint="eastAsia" w:ascii="仿宋_GB2312" w:hAnsi="仿宋_GB2312" w:eastAsia="仿宋_GB2312" w:cs="仿宋_GB2312"/>
          <w:b w:val="0"/>
          <w:i w:val="0"/>
          <w:caps w:val="0"/>
          <w:color w:val="auto"/>
          <w:spacing w:val="0"/>
          <w:sz w:val="28"/>
          <w:szCs w:val="28"/>
          <w:u w:val="none"/>
          <w:shd w:val="clear" w:fill="FFFFFF"/>
        </w:rPr>
        <w:fldChar w:fldCharType="end"/>
      </w:r>
      <w:r>
        <w:rPr>
          <w:rFonts w:hint="eastAsia" w:ascii="仿宋_GB2312" w:hAnsi="仿宋_GB2312" w:eastAsia="仿宋_GB2312" w:cs="仿宋_GB2312"/>
          <w:b w:val="0"/>
          <w:i w:val="0"/>
          <w:caps w:val="0"/>
          <w:color w:val="auto"/>
          <w:spacing w:val="0"/>
          <w:sz w:val="28"/>
          <w:szCs w:val="28"/>
          <w:shd w:val="clear" w:fill="FFFFFF"/>
        </w:rPr>
        <w:t>、银行对账单、纳税申报表、会计档案移交清册、会计档案保管清册、会计档案销毁清册、会计档案鉴定意见书及其他具有保存价值的会计资料。</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第七条 单位可以利用计算机、网络通信等信息技术手段管理会计档案。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第八条 同时满足下列条件的，单位内部形成的属于归档范围的电子会计资料可仅以电子形式保存，形成电子会计档案：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（一）形成的电子会计资料来源真实有效，由计算机等电子设备形成和传输；</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（二）使用的会计核算系统能够准确、完整、有效接收和读取电子会计资料，能够输出符合国家标准归档格式的会计凭证、会计账簿、财务会计报表等会计资料，设定了经办、审核、审批等必要的审签程序；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（三）使用的电子档案管理系统能够有效接收、管理、利用电子会计档案，符合电子档案的长期保管要求，并建立了电子会计档案与相关联的其他纸质会计档案的检索关系；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（四）采取有效措施，防止电子会计档案被篡改；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（五）建立电子会计档案备份制度，能够有效防范自然灾害、意外事故和人为破坏的影响；</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（六）形成的电子会计资料不属于具有永久保存价值或者其他重要保存价值的会计档案。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第九条 满足本办法第八条规定条件，单位从外部接收的电子会计资料附有符合《中华人民共和国电子签名法》规定的电子签名的，可仅以电子形式归档保存，形成电子会计档案。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第十条 单位的会计机构或会计人员所属机构（以下统称单位会计管理机构）按照归档范围和归档要求，负责定期将应当归档的会计资料整理立卷，编制会计档案保管清册。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第十一条 当年形成的会计档案，在会计年度终了后，可由单位会计管理机构临时保管一年，再移交单位档案管理机构保管。因工作需要确需推迟移交的，应当经单位档案管理机构同意。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单位会计管理机构临时保管会计档案最长不超过三年。临时保管期间，会计档案的保管应当符合国家档案管理的有关规定，且出纳人员不得兼管会计档案。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第十二条 单位会计管理机构在办理会计档案移交时，应当编制会计档案移交清册，并按照国家档案管理的有关规定办理移交手续。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纸质会计档案移交时应当保持原卷的封装。电子会计档案移交时应当将电子会计档案及其元数据一并移交，且文件格式应当符合国家档案管理的有关规定。特殊格式的电子会计档案应当与其读取平台一并移交。</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单位档案管理机构接收电子会计档案时，应当对电子会计档案的准确性、完整性、可用性、安全性进行检测，符合要求的才能接收。</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第十三条 单位应当严格按照相关制度利用会计档案，在进行会计档案查阅、复制、借出时履行登记手续，严禁篡改和损坏。</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单位保存的会计档案一般不得对外借出。确因工作需要且根据国家有关规定必须借出的，应当严格按照规定办理相关手续。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会计档案借用单位应当妥善保管和利用借入的会计档案，确保借入会计档案的安全完整，并在规定时间内归还。</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第十四条 会计档案的保管期限分为永久、定期两类。定期保管期限一般分为10年和30年。</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会计档案的保管期限，从会计年度终了后的第一天算起。</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第十五条 各类会计档案的保管期限原则上应当按照本办法附表执行，本办法规定的</w:t>
      </w:r>
      <w:r>
        <w:rPr>
          <w:rFonts w:hint="eastAsia" w:ascii="仿宋_GB2312" w:hAnsi="仿宋_GB2312" w:eastAsia="仿宋_GB2312" w:cs="仿宋_GB2312"/>
          <w:b w:val="0"/>
          <w:i w:val="0"/>
          <w:caps w:val="0"/>
          <w:color w:val="auto"/>
          <w:spacing w:val="0"/>
          <w:sz w:val="28"/>
          <w:szCs w:val="28"/>
          <w:u w:val="none"/>
          <w:shd w:val="clear" w:fill="FFFFFF"/>
        </w:rPr>
        <w:fldChar w:fldCharType="begin"/>
      </w:r>
      <w:r>
        <w:rPr>
          <w:rFonts w:hint="eastAsia" w:ascii="仿宋_GB2312" w:hAnsi="仿宋_GB2312" w:eastAsia="仿宋_GB2312" w:cs="仿宋_GB2312"/>
          <w:b w:val="0"/>
          <w:i w:val="0"/>
          <w:caps w:val="0"/>
          <w:color w:val="auto"/>
          <w:spacing w:val="0"/>
          <w:sz w:val="28"/>
          <w:szCs w:val="28"/>
          <w:u w:val="none"/>
          <w:shd w:val="clear" w:fill="FFFFFF"/>
        </w:rPr>
        <w:instrText xml:space="preserve"> HYPERLINK "http://www.chinaacc.com/kuaijishiwu/zzjn/" \o "会计档案保管期限" \t "http://www.chinaacc.com/zyczfg/_blank" </w:instrText>
      </w:r>
      <w:r>
        <w:rPr>
          <w:rFonts w:hint="eastAsia" w:ascii="仿宋_GB2312" w:hAnsi="仿宋_GB2312" w:eastAsia="仿宋_GB2312" w:cs="仿宋_GB2312"/>
          <w:b w:val="0"/>
          <w:i w:val="0"/>
          <w:caps w:val="0"/>
          <w:color w:val="auto"/>
          <w:spacing w:val="0"/>
          <w:sz w:val="28"/>
          <w:szCs w:val="28"/>
          <w:u w:val="none"/>
          <w:shd w:val="clear" w:fill="FFFFFF"/>
        </w:rPr>
        <w:fldChar w:fldCharType="separate"/>
      </w:r>
      <w:r>
        <w:rPr>
          <w:rStyle w:val="8"/>
          <w:rFonts w:hint="eastAsia" w:ascii="仿宋_GB2312" w:hAnsi="仿宋_GB2312" w:eastAsia="仿宋_GB2312" w:cs="仿宋_GB2312"/>
          <w:b w:val="0"/>
          <w:i w:val="0"/>
          <w:caps w:val="0"/>
          <w:color w:val="auto"/>
          <w:spacing w:val="0"/>
          <w:sz w:val="28"/>
          <w:szCs w:val="28"/>
          <w:u w:val="none"/>
          <w:shd w:val="clear" w:fill="FFFFFF"/>
        </w:rPr>
        <w:t>会计档案保管期限</w:t>
      </w:r>
      <w:r>
        <w:rPr>
          <w:rFonts w:hint="eastAsia" w:ascii="仿宋_GB2312" w:hAnsi="仿宋_GB2312" w:eastAsia="仿宋_GB2312" w:cs="仿宋_GB2312"/>
          <w:b w:val="0"/>
          <w:i w:val="0"/>
          <w:caps w:val="0"/>
          <w:color w:val="auto"/>
          <w:spacing w:val="0"/>
          <w:sz w:val="28"/>
          <w:szCs w:val="28"/>
          <w:u w:val="none"/>
          <w:shd w:val="clear" w:fill="FFFFFF"/>
        </w:rPr>
        <w:fldChar w:fldCharType="end"/>
      </w:r>
      <w:r>
        <w:rPr>
          <w:rFonts w:hint="eastAsia" w:ascii="仿宋_GB2312" w:hAnsi="仿宋_GB2312" w:eastAsia="仿宋_GB2312" w:cs="仿宋_GB2312"/>
          <w:b w:val="0"/>
          <w:i w:val="0"/>
          <w:caps w:val="0"/>
          <w:color w:val="auto"/>
          <w:spacing w:val="0"/>
          <w:sz w:val="28"/>
          <w:szCs w:val="28"/>
          <w:shd w:val="clear" w:fill="FFFFFF"/>
        </w:rPr>
        <w:t>为最低保管期限。</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单位会计档案的具体名称如有同本办法附表所列档案名称不相符的，应当比照类似档案的保管期限办理。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第十六条 单位应当定期对已到保管期限的会计档案进行鉴定，并形成会计档案鉴定意见书。经鉴定，仍需继续保存的会计档案，应当重新划定保管期限；对保管期满，确无保存价值的会计档案，可以销毁。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第十七条 会计档案鉴定工作应当由单位档案管理机构牵头，组织单位会计、审计、纪检监察等机构或人员共同进行。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第十八条 经鉴定可以销毁的会计档案，应当按照以下程序销毁：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（一）单位档案管理机构编制会计档案销毁清册，列明拟销毁会计档案的名称、卷号、册数、起止年度、档案编号、应保管期限、已保管期限和销毁时间等内容。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（二）单位负责人、档案管理机构负责人、会计管理机构负责人、档案管理机构经办人、会计管理机构经办人在会计档案销毁清册上签署意见。</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三）单位档案管理机构负责组织会计档案销毁工作，并与会计管理机构共同派员监销。监销人在会计档案销毁前，应当按照会计档案销毁清册所列内容进行清点核对；在会计档案销毁后，应当在会计档案销毁清册上签名或盖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电子会计档案的销毁还应当符合国家有关电子档案的规定，并由单位档案管理机构、会计管理机构和信息系统管理机构共同派员监销。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第十九条 保管期满但未结清的债权债务会计凭证和涉及其他未了事项的会计凭证不得销毁，纸质会计档案应当单独抽出立卷，电子会计档案单独转存，保管到未了事项完结时为止。</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单独抽出立卷或转存的会计档案，应当在会计档案鉴定意见书、会计档案销毁清册和会计档案保管清册中列明。</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第二十条 单位因撤销、解散、破产或其他原因而终止的，在终止或办理注销登记手续之前形成的会计档案，按照国家档案管理的有关规定处置。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第二十一条 单位分立后原单位存续的，其会计档案应当由分立后的存续方统一保管，其他方可以查阅、复制与其业务相关的会计档案。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单位分立后原单位解散的，其会计档案应当经各方协商后由其中一方代管或按照国家档案管理的有关规定处置，各方可以查阅、复制与其业务相关的会计档案。</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单位分立中未结清的会计事项所涉及的会计凭证，应当单独抽出由业务相关方保存，并按照规定办理交接手续。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单位因业务移交其他单位办理所涉及的会计档案，应当由原单位保管，承接业务单位可以查阅、复制与其业务相关的会计档案。对其中未结清的会计事项所涉及的会计凭证，应当单独抽出由承接业务单位保存，并按照规定办理交接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第二十二条 单位合并后原各单位解散或者一方存续其他方解散的，原各单位的会计档案应当由合并后的单位统一保管。单位合并后原各单位仍存续的，其会计档案仍应当由原各单位保管。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第二十三条 建设单位在项目建设期间形成的会计档案，需要移交给建设项目接受单位的，应当在办理竣工财务决算后及时移交，并按照规定办理交接手续。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第二十四条 单位之间交接会计档案时，交接双方应当办理会计档案交接手续。</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移交会计档案的单位，应当编制会计档案移交清册，列明应当移交的会计档案名称、卷号、册数、起止年度、档案编号、应保管期限和已保管期限等内容。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交接会计档案时，交接双方应当按照会计档案移交清册所列内容逐项交接，并由交接双方的单位有关负责人负责监督。交接完毕后，交接双方经办人和监督人应当在会计档案移交清册上签名或盖章。</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电子会计档案应当与其元数据一并移交，特殊格式的电子会计档案应当与其读取平台一并移交。档案接受单位应当对保存电子会计档案的载体及其技术环境进行检验，确保所接收电子会计档案的准确、完整、可用和安全。</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第二十五条 单位的会计档案及其复制件需要携带、寄运或者传输至境外的，应当按照国家有关规定执行。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第二十六条 单位委托中介机构代理记账的，应当在签订的书面委托合同中，明确会计档案的管理要求及相应责任。</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第二十七条 违反本办法规定的单位和个人，由县级以上人民政府财政部门、档案行政管理部门依据《中华人民共和国会计法》《中华人民共和国档案法》等法律法规处理处罚。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第二十八条 预算、计划、制度等文件材料，应当执行文书档案管理规定，不适用本办法。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第二十九条 不具备设立档案机构或配备档案工作人员条件的单位和依法建账的个体工商户，其会计档案的收集、整理、保管、利用和鉴定销毁等参照本办法执行。</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第三十条 各省、自治区、直辖市、计划单列市人民政府财政部门、档案行政管理部门，新疆生产建设兵团财务局、档案局，国务院各业务主管部门，中国人民解放军总后勤部，可以根据本办法制定具体实施办法。</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leftChars="0" w:right="0" w:rightChars="0" w:firstLine="560" w:firstLineChars="200"/>
        <w:jc w:val="left"/>
        <w:textAlignment w:val="auto"/>
        <w:outlineLvl w:val="9"/>
        <w:rPr>
          <w:rFonts w:hint="eastAsia" w:ascii="仿宋_GB2312" w:hAnsi="仿宋_GB2312" w:eastAsia="仿宋_GB2312" w:cs="仿宋_GB2312"/>
          <w:b w:val="0"/>
          <w:i w:val="0"/>
          <w:caps w:val="0"/>
          <w:color w:val="auto"/>
          <w:spacing w:val="0"/>
          <w:sz w:val="28"/>
          <w:szCs w:val="28"/>
        </w:rPr>
      </w:pPr>
      <w:r>
        <w:rPr>
          <w:rFonts w:hint="eastAsia" w:ascii="仿宋_GB2312" w:hAnsi="仿宋_GB2312" w:eastAsia="仿宋_GB2312" w:cs="仿宋_GB2312"/>
          <w:b w:val="0"/>
          <w:i w:val="0"/>
          <w:caps w:val="0"/>
          <w:color w:val="auto"/>
          <w:spacing w:val="0"/>
          <w:sz w:val="28"/>
          <w:szCs w:val="28"/>
          <w:shd w:val="clear" w:fill="FFFFFF"/>
        </w:rPr>
        <w:t>第三十一条 本办法由财政部、国家档案局负责解释，自2016年1月1日起施行。1998年8月21日财政部、国家档案局发布的《</w:t>
      </w:r>
      <w:r>
        <w:rPr>
          <w:rFonts w:hint="eastAsia" w:ascii="仿宋_GB2312" w:hAnsi="仿宋_GB2312" w:eastAsia="仿宋_GB2312" w:cs="仿宋_GB2312"/>
          <w:b w:val="0"/>
          <w:i w:val="0"/>
          <w:caps w:val="0"/>
          <w:color w:val="auto"/>
          <w:spacing w:val="0"/>
          <w:sz w:val="28"/>
          <w:szCs w:val="28"/>
          <w:u w:val="none"/>
          <w:shd w:val="clear" w:fill="FFFFFF"/>
        </w:rPr>
        <w:fldChar w:fldCharType="begin"/>
      </w:r>
      <w:r>
        <w:rPr>
          <w:rFonts w:hint="eastAsia" w:ascii="仿宋_GB2312" w:hAnsi="仿宋_GB2312" w:eastAsia="仿宋_GB2312" w:cs="仿宋_GB2312"/>
          <w:b w:val="0"/>
          <w:i w:val="0"/>
          <w:caps w:val="0"/>
          <w:color w:val="auto"/>
          <w:spacing w:val="0"/>
          <w:sz w:val="28"/>
          <w:szCs w:val="28"/>
          <w:u w:val="none"/>
          <w:shd w:val="clear" w:fill="FFFFFF"/>
        </w:rPr>
        <w:instrText xml:space="preserve"> HYPERLINK "http://www.chinaacc.com/new/63/64/79/1998/8/ad8035301111288991455.htm" \t "http://www.chinaacc.com/zyczfg/_blank" </w:instrText>
      </w:r>
      <w:r>
        <w:rPr>
          <w:rFonts w:hint="eastAsia" w:ascii="仿宋_GB2312" w:hAnsi="仿宋_GB2312" w:eastAsia="仿宋_GB2312" w:cs="仿宋_GB2312"/>
          <w:b w:val="0"/>
          <w:i w:val="0"/>
          <w:caps w:val="0"/>
          <w:color w:val="auto"/>
          <w:spacing w:val="0"/>
          <w:sz w:val="28"/>
          <w:szCs w:val="28"/>
          <w:u w:val="none"/>
          <w:shd w:val="clear" w:fill="FFFFFF"/>
        </w:rPr>
        <w:fldChar w:fldCharType="separate"/>
      </w:r>
      <w:r>
        <w:rPr>
          <w:rStyle w:val="8"/>
          <w:rFonts w:hint="eastAsia" w:ascii="仿宋_GB2312" w:hAnsi="仿宋_GB2312" w:eastAsia="仿宋_GB2312" w:cs="仿宋_GB2312"/>
          <w:b w:val="0"/>
          <w:i w:val="0"/>
          <w:caps w:val="0"/>
          <w:color w:val="auto"/>
          <w:spacing w:val="0"/>
          <w:sz w:val="28"/>
          <w:szCs w:val="28"/>
          <w:u w:val="none"/>
          <w:shd w:val="clear" w:fill="FFFFFF"/>
        </w:rPr>
        <w:t>会计档案管理办法</w:t>
      </w:r>
      <w:r>
        <w:rPr>
          <w:rFonts w:hint="eastAsia" w:ascii="仿宋_GB2312" w:hAnsi="仿宋_GB2312" w:eastAsia="仿宋_GB2312" w:cs="仿宋_GB2312"/>
          <w:b w:val="0"/>
          <w:i w:val="0"/>
          <w:caps w:val="0"/>
          <w:color w:val="auto"/>
          <w:spacing w:val="0"/>
          <w:sz w:val="28"/>
          <w:szCs w:val="28"/>
          <w:u w:val="none"/>
          <w:shd w:val="clear" w:fill="FFFFFF"/>
        </w:rPr>
        <w:fldChar w:fldCharType="end"/>
      </w:r>
      <w:r>
        <w:rPr>
          <w:rFonts w:hint="eastAsia" w:ascii="仿宋_GB2312" w:hAnsi="仿宋_GB2312" w:eastAsia="仿宋_GB2312" w:cs="仿宋_GB2312"/>
          <w:b w:val="0"/>
          <w:i w:val="0"/>
          <w:caps w:val="0"/>
          <w:color w:val="auto"/>
          <w:spacing w:val="0"/>
          <w:sz w:val="28"/>
          <w:szCs w:val="28"/>
          <w:shd w:val="clear" w:fill="FFFFFF"/>
        </w:rPr>
        <w:t>》（财会字[1998]32号）同时废止。</w:t>
      </w: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jc w:val="center"/>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bookmarkStart w:id="0" w:name="OLE_LINK5"/>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p>
    <w:p>
      <w:pPr>
        <w:keepNext w:val="0"/>
        <w:keepLines w:val="0"/>
        <w:pageBreakBefore w:val="0"/>
        <w:kinsoku/>
        <w:wordWrap/>
        <w:overflowPunct/>
        <w:topLinePunct w:val="0"/>
        <w:autoSpaceDE/>
        <w:autoSpaceDN/>
        <w:bidi w:val="0"/>
        <w:adjustRightInd/>
        <w:snapToGrid/>
        <w:spacing w:line="520" w:lineRule="exact"/>
        <w:ind w:left="0" w:leftChars="0" w:right="0" w:rightChars="0" w:firstLine="560" w:firstLineChars="200"/>
        <w:textAlignment w:val="auto"/>
        <w:outlineLvl w:val="9"/>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附表1</w:t>
      </w:r>
    </w:p>
    <w:p>
      <w:pPr>
        <w:adjustRightInd w:val="0"/>
        <w:snapToGrid w:val="0"/>
        <w:spacing w:afterLines="50" w:line="360" w:lineRule="exact"/>
        <w:rPr>
          <w:rFonts w:eastAsia="黑体" w:cs="Times New Roman"/>
          <w:sz w:val="28"/>
          <w:szCs w:val="28"/>
        </w:rPr>
      </w:pPr>
    </w:p>
    <w:p>
      <w:pPr>
        <w:adjustRightInd w:val="0"/>
        <w:snapToGrid w:val="0"/>
        <w:spacing w:afterLines="50" w:line="360" w:lineRule="exact"/>
        <w:jc w:val="center"/>
        <w:rPr>
          <w:rFonts w:eastAsia="黑体" w:cs="Times New Roman"/>
          <w:sz w:val="28"/>
          <w:szCs w:val="28"/>
        </w:rPr>
      </w:pPr>
      <w:r>
        <w:rPr>
          <w:rFonts w:hint="eastAsia" w:eastAsia="黑体" w:cs="黑体"/>
          <w:sz w:val="28"/>
          <w:szCs w:val="28"/>
        </w:rPr>
        <w:t>企业和其他组织会计档案保管期限表</w:t>
      </w:r>
    </w:p>
    <w:p>
      <w:pPr>
        <w:adjustRightInd w:val="0"/>
        <w:snapToGrid w:val="0"/>
        <w:spacing w:afterLines="50" w:line="360" w:lineRule="exact"/>
        <w:jc w:val="center"/>
        <w:rPr>
          <w:rFonts w:eastAsia="黑体" w:cs="Times New Roman"/>
          <w:sz w:val="28"/>
          <w:szCs w:val="28"/>
        </w:rPr>
      </w:pPr>
    </w:p>
    <w:tbl>
      <w:tblPr>
        <w:tblStyle w:val="9"/>
        <w:tblW w:w="8660" w:type="dxa"/>
        <w:jc w:val="center"/>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61"/>
        <w:gridCol w:w="3504"/>
        <w:gridCol w:w="1048"/>
        <w:gridCol w:w="3147"/>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17" w:hRule="atLeast"/>
          <w:jc w:val="center"/>
        </w:trPr>
        <w:tc>
          <w:tcPr>
            <w:tcW w:w="961" w:type="dxa"/>
            <w:tcBorders>
              <w:top w:val="single" w:color="auto" w:sz="4"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序号</w:t>
            </w:r>
          </w:p>
        </w:tc>
        <w:tc>
          <w:tcPr>
            <w:tcW w:w="3504" w:type="dxa"/>
            <w:tcBorders>
              <w:top w:val="single" w:color="auto" w:sz="4"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档案名称</w:t>
            </w:r>
          </w:p>
        </w:tc>
        <w:tc>
          <w:tcPr>
            <w:tcW w:w="1048" w:type="dxa"/>
            <w:tcBorders>
              <w:top w:val="single" w:color="auto" w:sz="4"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保管期限</w:t>
            </w:r>
          </w:p>
        </w:tc>
        <w:tc>
          <w:tcPr>
            <w:tcW w:w="3147" w:type="dxa"/>
            <w:tcBorders>
              <w:top w:val="single" w:color="auto" w:sz="4" w:space="0"/>
              <w:left w:val="single" w:color="auto" w:sz="6" w:space="0"/>
              <w:bottom w:val="single" w:color="auto" w:sz="6" w:space="0"/>
              <w:right w:val="single" w:color="auto" w:sz="4"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备注</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一</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b/>
                <w:bCs/>
              </w:rPr>
            </w:pPr>
            <w:r>
              <w:rPr>
                <w:rFonts w:hint="eastAsia" w:cs="宋体"/>
                <w:b/>
                <w:bCs/>
              </w:rPr>
              <w:t>会计凭证</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b/>
                <w:bCs/>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原始凭证</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2</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记账凭证</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二</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b/>
                <w:bCs/>
              </w:rPr>
            </w:pPr>
            <w:r>
              <w:rPr>
                <w:rFonts w:hint="eastAsia" w:cs="宋体"/>
                <w:b/>
                <w:bCs/>
              </w:rPr>
              <w:t>会计账簿</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b/>
                <w:bCs/>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3</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总账</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4</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明细账</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5</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日记账</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6</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固定资产卡片</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r>
              <w:rPr>
                <w:rFonts w:hint="eastAsia" w:cs="宋体"/>
              </w:rPr>
              <w:t>固定资产报废清理后保管</w:t>
            </w:r>
            <w:r>
              <w:t>5</w:t>
            </w:r>
            <w:r>
              <w:rPr>
                <w:rFonts w:hint="eastAsia" w:cs="宋体"/>
              </w:rPr>
              <w:t>年</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7</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其他辅助性账簿</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三</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b/>
                <w:bCs/>
              </w:rPr>
            </w:pPr>
            <w:r>
              <w:rPr>
                <w:rFonts w:hint="eastAsia" w:cs="宋体"/>
                <w:b/>
                <w:bCs/>
              </w:rPr>
              <w:t>财务会计报告</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b/>
                <w:bCs/>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8</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月度、季度、半年度财务会计报告</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10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9</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年度财务会计报告</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rPr>
                <w:rFonts w:hint="eastAsia" w:cs="宋体"/>
              </w:rPr>
              <w:t>永久</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r>
              <w:rPr>
                <w:rFonts w:hint="eastAsia" w:cs="宋体"/>
                <w:b/>
                <w:bCs/>
              </w:rPr>
              <w:t>四</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b/>
                <w:bCs/>
              </w:rPr>
            </w:pPr>
            <w:r>
              <w:rPr>
                <w:rFonts w:hint="eastAsia" w:cs="宋体"/>
                <w:b/>
                <w:bCs/>
              </w:rPr>
              <w:t>其他会计资料</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b/>
                <w:bCs/>
              </w:rPr>
            </w:pP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b/>
                <w:bCs/>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10</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银行存款余额调节表</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10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11</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银行对账单</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10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12</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纳税申报表</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10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13</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会计档案移交清册</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t>30</w:t>
            </w:r>
            <w:r>
              <w:rPr>
                <w:rFonts w:hint="eastAsia" w:cs="宋体"/>
              </w:rPr>
              <w:t>年</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14</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会计档案保管清册</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rPr>
                <w:rFonts w:hint="eastAsia" w:cs="宋体"/>
              </w:rPr>
              <w:t>永久</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24" w:hRule="atLeast"/>
          <w:jc w:val="center"/>
        </w:trPr>
        <w:tc>
          <w:tcPr>
            <w:tcW w:w="961" w:type="dxa"/>
            <w:tcBorders>
              <w:top w:val="single" w:color="auto" w:sz="6" w:space="0"/>
              <w:left w:val="single" w:color="auto" w:sz="4"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pPr>
            <w:r>
              <w:t>15</w:t>
            </w:r>
          </w:p>
        </w:tc>
        <w:tc>
          <w:tcPr>
            <w:tcW w:w="3504" w:type="dxa"/>
            <w:tcBorders>
              <w:top w:val="single" w:color="auto" w:sz="6" w:space="0"/>
              <w:left w:val="single" w:color="auto" w:sz="6" w:space="0"/>
              <w:bottom w:val="single" w:color="auto" w:sz="6"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会计档案销毁清册</w:t>
            </w:r>
          </w:p>
        </w:tc>
        <w:tc>
          <w:tcPr>
            <w:tcW w:w="1048" w:type="dxa"/>
            <w:tcBorders>
              <w:top w:val="single" w:color="auto" w:sz="6" w:space="0"/>
              <w:left w:val="single" w:color="auto" w:sz="6" w:space="0"/>
              <w:bottom w:val="single" w:color="auto" w:sz="6"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rPr>
                <w:rFonts w:hint="eastAsia" w:cs="宋体"/>
              </w:rPr>
              <w:t>永久</w:t>
            </w:r>
          </w:p>
        </w:tc>
        <w:tc>
          <w:tcPr>
            <w:tcW w:w="3147" w:type="dxa"/>
            <w:tcBorders>
              <w:top w:val="single" w:color="auto" w:sz="6" w:space="0"/>
              <w:left w:val="single" w:color="auto" w:sz="6" w:space="0"/>
              <w:bottom w:val="single" w:color="auto" w:sz="6"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538" w:hRule="atLeast"/>
          <w:jc w:val="center"/>
        </w:trPr>
        <w:tc>
          <w:tcPr>
            <w:tcW w:w="961" w:type="dxa"/>
            <w:tcBorders>
              <w:top w:val="single" w:color="auto" w:sz="6" w:space="0"/>
              <w:left w:val="single" w:color="auto" w:sz="4" w:space="0"/>
              <w:bottom w:val="single" w:color="auto" w:sz="4" w:space="0"/>
              <w:right w:val="single" w:color="auto" w:sz="6" w:space="0"/>
            </w:tcBorders>
            <w:tcMar>
              <w:left w:w="0" w:type="dxa"/>
              <w:right w:w="0" w:type="dxa"/>
            </w:tcMar>
            <w:vAlign w:val="center"/>
          </w:tcPr>
          <w:p>
            <w:pPr>
              <w:adjustRightInd w:val="0"/>
              <w:snapToGrid w:val="0"/>
              <w:spacing w:line="360" w:lineRule="exact"/>
              <w:jc w:val="center"/>
            </w:pPr>
            <w:r>
              <w:t>16</w:t>
            </w:r>
          </w:p>
        </w:tc>
        <w:tc>
          <w:tcPr>
            <w:tcW w:w="3504" w:type="dxa"/>
            <w:tcBorders>
              <w:top w:val="single" w:color="auto" w:sz="6" w:space="0"/>
              <w:left w:val="single" w:color="auto" w:sz="6" w:space="0"/>
              <w:bottom w:val="single" w:color="auto" w:sz="4" w:space="0"/>
              <w:right w:val="single" w:color="auto" w:sz="6" w:space="0"/>
            </w:tcBorders>
            <w:tcMar>
              <w:left w:w="113" w:type="dxa"/>
              <w:right w:w="0" w:type="dxa"/>
            </w:tcMar>
            <w:vAlign w:val="center"/>
          </w:tcPr>
          <w:p>
            <w:pPr>
              <w:adjustRightInd w:val="0"/>
              <w:snapToGrid w:val="0"/>
              <w:spacing w:line="360" w:lineRule="exact"/>
              <w:jc w:val="left"/>
              <w:rPr>
                <w:rFonts w:cs="Times New Roman"/>
              </w:rPr>
            </w:pPr>
            <w:r>
              <w:rPr>
                <w:rFonts w:hint="eastAsia" w:cs="宋体"/>
              </w:rPr>
              <w:t>会计档案鉴定意见书</w:t>
            </w:r>
          </w:p>
        </w:tc>
        <w:tc>
          <w:tcPr>
            <w:tcW w:w="1048" w:type="dxa"/>
            <w:tcBorders>
              <w:top w:val="single" w:color="auto" w:sz="6" w:space="0"/>
              <w:left w:val="single" w:color="auto" w:sz="6" w:space="0"/>
              <w:bottom w:val="single" w:color="auto" w:sz="4" w:space="0"/>
              <w:right w:val="single" w:color="auto" w:sz="6" w:space="0"/>
            </w:tcBorders>
            <w:tcMar>
              <w:left w:w="0" w:type="dxa"/>
              <w:right w:w="0" w:type="dxa"/>
            </w:tcMar>
            <w:vAlign w:val="center"/>
          </w:tcPr>
          <w:p>
            <w:pPr>
              <w:adjustRightInd w:val="0"/>
              <w:snapToGrid w:val="0"/>
              <w:spacing w:line="360" w:lineRule="exact"/>
              <w:jc w:val="center"/>
              <w:rPr>
                <w:rFonts w:cs="Times New Roman"/>
              </w:rPr>
            </w:pPr>
            <w:r>
              <w:rPr>
                <w:rFonts w:hint="eastAsia" w:cs="宋体"/>
              </w:rPr>
              <w:t>永久</w:t>
            </w:r>
          </w:p>
        </w:tc>
        <w:tc>
          <w:tcPr>
            <w:tcW w:w="3147" w:type="dxa"/>
            <w:tcBorders>
              <w:top w:val="single" w:color="auto" w:sz="6" w:space="0"/>
              <w:left w:val="single" w:color="auto" w:sz="6" w:space="0"/>
              <w:bottom w:val="single" w:color="auto" w:sz="4" w:space="0"/>
              <w:right w:val="single" w:color="auto" w:sz="4" w:space="0"/>
            </w:tcBorders>
            <w:tcMar>
              <w:left w:w="113" w:type="dxa"/>
              <w:right w:w="113" w:type="dxa"/>
            </w:tcMar>
            <w:vAlign w:val="center"/>
          </w:tcPr>
          <w:p>
            <w:pPr>
              <w:adjustRightInd w:val="0"/>
              <w:snapToGrid w:val="0"/>
              <w:spacing w:line="360" w:lineRule="exact"/>
              <w:jc w:val="center"/>
              <w:rPr>
                <w:rFonts w:cs="Times New Roman"/>
              </w:rPr>
            </w:pPr>
          </w:p>
        </w:tc>
      </w:tr>
    </w:tbl>
    <w:p>
      <w:pPr>
        <w:adjustRightInd w:val="0"/>
        <w:snapToGrid w:val="0"/>
        <w:spacing w:line="360" w:lineRule="atLeast"/>
        <w:rPr>
          <w:rFonts w:cs="Times New Roman"/>
        </w:rPr>
      </w:pPr>
    </w:p>
    <w:p>
      <w:pPr>
        <w:adjustRightInd w:val="0"/>
        <w:snapToGrid w:val="0"/>
        <w:spacing w:line="400" w:lineRule="exact"/>
        <w:ind w:left="-178" w:leftChars="-85" w:firstLine="178" w:firstLineChars="85"/>
        <w:rPr>
          <w:rFonts w:cs="Times New Roman"/>
          <w:sz w:val="24"/>
          <w:szCs w:val="24"/>
        </w:rPr>
      </w:pPr>
      <w:r>
        <w:rPr>
          <w:rFonts w:cs="Times New Roman"/>
        </w:rPr>
        <w:br w:type="page"/>
      </w:r>
      <w:bookmarkEnd w:id="0"/>
      <w:r>
        <w:rPr>
          <w:rFonts w:hint="eastAsia" w:cs="宋体"/>
          <w:sz w:val="24"/>
          <w:szCs w:val="24"/>
        </w:rPr>
        <w:t>附表</w:t>
      </w:r>
      <w:r>
        <w:rPr>
          <w:sz w:val="24"/>
          <w:szCs w:val="24"/>
        </w:rPr>
        <w:t>2</w:t>
      </w:r>
    </w:p>
    <w:p>
      <w:pPr>
        <w:adjustRightInd w:val="0"/>
        <w:snapToGrid w:val="0"/>
        <w:spacing w:line="400" w:lineRule="exact"/>
        <w:rPr>
          <w:rFonts w:cs="Times New Roman"/>
          <w:sz w:val="24"/>
          <w:szCs w:val="24"/>
        </w:rPr>
      </w:pPr>
    </w:p>
    <w:p>
      <w:pPr>
        <w:adjustRightInd w:val="0"/>
        <w:snapToGrid w:val="0"/>
        <w:spacing w:line="400" w:lineRule="exact"/>
        <w:rPr>
          <w:rFonts w:eastAsia="黑体" w:cs="Times New Roman"/>
          <w:sz w:val="28"/>
          <w:szCs w:val="28"/>
        </w:rPr>
      </w:pPr>
      <w:r>
        <w:rPr>
          <w:rFonts w:hint="eastAsia" w:eastAsia="黑体" w:cs="黑体"/>
          <w:sz w:val="28"/>
          <w:szCs w:val="28"/>
        </w:rPr>
        <w:t xml:space="preserve">   财政总预算、行政单位、事业单位和税收会计档案保管期限表</w:t>
      </w:r>
    </w:p>
    <w:p>
      <w:pPr>
        <w:adjustRightInd w:val="0"/>
        <w:snapToGrid w:val="0"/>
        <w:spacing w:line="400" w:lineRule="exact"/>
        <w:rPr>
          <w:rFonts w:eastAsia="黑体" w:cs="Times New Roman"/>
          <w:sz w:val="28"/>
          <w:szCs w:val="28"/>
        </w:rPr>
      </w:pPr>
    </w:p>
    <w:tbl>
      <w:tblPr>
        <w:tblStyle w:val="9"/>
        <w:tblW w:w="10440" w:type="dxa"/>
        <w:tblInd w:w="-6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3823"/>
        <w:gridCol w:w="927"/>
        <w:gridCol w:w="1132"/>
        <w:gridCol w:w="735"/>
        <w:gridCol w:w="3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588" w:type="dxa"/>
            <w:vMerge w:val="restart"/>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b/>
                <w:bCs/>
                <w:color w:val="000000"/>
              </w:rPr>
            </w:pPr>
          </w:p>
          <w:p>
            <w:pPr>
              <w:adjustRightInd w:val="0"/>
              <w:snapToGrid w:val="0"/>
              <w:spacing w:line="360" w:lineRule="exact"/>
              <w:jc w:val="center"/>
              <w:rPr>
                <w:rFonts w:ascii="宋体" w:cs="Times New Roman"/>
                <w:b/>
                <w:bCs/>
                <w:color w:val="000000"/>
              </w:rPr>
            </w:pPr>
            <w:r>
              <w:rPr>
                <w:rFonts w:hint="eastAsia" w:ascii="宋体" w:hAnsi="宋体" w:cs="宋体"/>
                <w:b/>
                <w:bCs/>
                <w:color w:val="000000"/>
              </w:rPr>
              <w:t>序号</w:t>
            </w:r>
          </w:p>
        </w:tc>
        <w:tc>
          <w:tcPr>
            <w:tcW w:w="3823" w:type="dxa"/>
            <w:vMerge w:val="restart"/>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b/>
                <w:bCs/>
                <w:color w:val="000000"/>
              </w:rPr>
            </w:pPr>
          </w:p>
          <w:p>
            <w:pPr>
              <w:adjustRightInd w:val="0"/>
              <w:snapToGrid w:val="0"/>
              <w:spacing w:line="360" w:lineRule="exact"/>
              <w:jc w:val="center"/>
              <w:rPr>
                <w:rFonts w:ascii="宋体" w:cs="Times New Roman"/>
                <w:b/>
                <w:bCs/>
                <w:color w:val="000000"/>
              </w:rPr>
            </w:pPr>
            <w:r>
              <w:rPr>
                <w:rFonts w:hint="eastAsia" w:ascii="宋体" w:hAnsi="宋体" w:cs="宋体"/>
                <w:b/>
                <w:bCs/>
                <w:color w:val="000000"/>
              </w:rPr>
              <w:t>档案名称</w:t>
            </w:r>
          </w:p>
        </w:tc>
        <w:tc>
          <w:tcPr>
            <w:tcW w:w="2794" w:type="dxa"/>
            <w:gridSpan w:val="3"/>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b/>
                <w:bCs/>
                <w:color w:val="000000"/>
              </w:rPr>
            </w:pPr>
            <w:r>
              <w:rPr>
                <w:rFonts w:hint="eastAsia" w:ascii="宋体" w:hAnsi="宋体" w:cs="宋体"/>
                <w:b/>
                <w:bCs/>
                <w:color w:val="000000"/>
              </w:rPr>
              <w:t>保管期限</w:t>
            </w:r>
          </w:p>
        </w:tc>
        <w:tc>
          <w:tcPr>
            <w:tcW w:w="3235" w:type="dxa"/>
            <w:vMerge w:val="restart"/>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b/>
                <w:bCs/>
                <w:color w:val="000000"/>
              </w:rPr>
            </w:pPr>
          </w:p>
          <w:p>
            <w:pPr>
              <w:adjustRightInd w:val="0"/>
              <w:snapToGrid w:val="0"/>
              <w:spacing w:line="360" w:lineRule="exact"/>
              <w:jc w:val="center"/>
              <w:rPr>
                <w:rFonts w:ascii="宋体" w:cs="Times New Roman"/>
                <w:b/>
                <w:bCs/>
                <w:color w:val="000000"/>
              </w:rPr>
            </w:pPr>
            <w:r>
              <w:rPr>
                <w:rFonts w:hint="eastAsia" w:ascii="宋体" w:hAnsi="宋体" w:cs="宋体"/>
                <w:b/>
                <w:bCs/>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588" w:type="dxa"/>
            <w:vMerge w:val="continue"/>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color w:val="000000"/>
              </w:rPr>
            </w:pPr>
          </w:p>
        </w:tc>
        <w:tc>
          <w:tcPr>
            <w:tcW w:w="3823" w:type="dxa"/>
            <w:vMerge w:val="continue"/>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color w:val="000000"/>
              </w:rPr>
            </w:pP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b/>
                <w:bCs/>
                <w:color w:val="000000"/>
              </w:rPr>
            </w:pPr>
            <w:r>
              <w:rPr>
                <w:rFonts w:hint="eastAsia" w:ascii="宋体" w:hAnsi="宋体" w:cs="宋体"/>
                <w:b/>
                <w:bCs/>
                <w:color w:val="000000"/>
              </w:rPr>
              <w:t>财政</w:t>
            </w:r>
          </w:p>
          <w:p>
            <w:pPr>
              <w:pStyle w:val="4"/>
              <w:pBdr>
                <w:bottom w:val="none" w:color="auto" w:sz="0" w:space="0"/>
              </w:pBdr>
              <w:tabs>
                <w:tab w:val="clear" w:pos="4153"/>
                <w:tab w:val="clear" w:pos="8306"/>
              </w:tabs>
              <w:adjustRightInd w:val="0"/>
              <w:spacing w:line="360" w:lineRule="exact"/>
              <w:rPr>
                <w:rFonts w:ascii="宋体"/>
                <w:b/>
                <w:bCs/>
                <w:color w:val="000000"/>
                <w:kern w:val="2"/>
                <w:sz w:val="21"/>
                <w:szCs w:val="21"/>
              </w:rPr>
            </w:pPr>
            <w:r>
              <w:rPr>
                <w:rFonts w:hint="eastAsia" w:ascii="宋体" w:hAnsi="宋体" w:cs="宋体"/>
                <w:b/>
                <w:bCs/>
                <w:color w:val="000000"/>
                <w:kern w:val="2"/>
                <w:sz w:val="21"/>
                <w:szCs w:val="21"/>
              </w:rPr>
              <w:t>总预算</w:t>
            </w:r>
          </w:p>
        </w:tc>
        <w:tc>
          <w:tcPr>
            <w:tcW w:w="1132" w:type="dxa"/>
            <w:tcBorders>
              <w:top w:val="single" w:color="auto" w:sz="4" w:space="0"/>
              <w:left w:val="single" w:color="auto" w:sz="4" w:space="0"/>
              <w:bottom w:val="single" w:color="auto" w:sz="4" w:space="0"/>
              <w:right w:val="single" w:color="auto" w:sz="4" w:space="0"/>
            </w:tcBorders>
          </w:tcPr>
          <w:p>
            <w:pPr>
              <w:pStyle w:val="4"/>
              <w:pBdr>
                <w:bottom w:val="none" w:color="auto" w:sz="0" w:space="0"/>
              </w:pBdr>
              <w:tabs>
                <w:tab w:val="clear" w:pos="4153"/>
                <w:tab w:val="clear" w:pos="8306"/>
              </w:tabs>
              <w:adjustRightInd w:val="0"/>
              <w:spacing w:line="360" w:lineRule="exact"/>
              <w:rPr>
                <w:rFonts w:ascii="宋体"/>
                <w:b/>
                <w:bCs/>
                <w:color w:val="000000"/>
                <w:kern w:val="2"/>
                <w:sz w:val="21"/>
                <w:szCs w:val="21"/>
              </w:rPr>
            </w:pPr>
            <w:r>
              <w:rPr>
                <w:rFonts w:hint="eastAsia" w:ascii="宋体" w:hAnsi="宋体" w:cs="宋体"/>
                <w:b/>
                <w:bCs/>
                <w:color w:val="000000"/>
                <w:kern w:val="2"/>
                <w:sz w:val="21"/>
                <w:szCs w:val="21"/>
              </w:rPr>
              <w:t>行政单位</w:t>
            </w:r>
          </w:p>
          <w:p>
            <w:pPr>
              <w:adjustRightInd w:val="0"/>
              <w:snapToGrid w:val="0"/>
              <w:spacing w:line="360" w:lineRule="exact"/>
              <w:jc w:val="center"/>
              <w:rPr>
                <w:rFonts w:ascii="宋体" w:cs="Times New Roman"/>
                <w:b/>
                <w:bCs/>
                <w:color w:val="000000"/>
              </w:rPr>
            </w:pPr>
            <w:r>
              <w:rPr>
                <w:rFonts w:hint="eastAsia" w:ascii="宋体" w:hAnsi="宋体" w:cs="宋体"/>
                <w:b/>
                <w:bCs/>
                <w:color w:val="000000"/>
              </w:rPr>
              <w:t>事业单位</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b/>
                <w:bCs/>
                <w:color w:val="000000"/>
              </w:rPr>
            </w:pPr>
            <w:r>
              <w:rPr>
                <w:rFonts w:hint="eastAsia" w:ascii="宋体" w:hAnsi="宋体" w:cs="宋体"/>
                <w:b/>
                <w:bCs/>
                <w:color w:val="000000"/>
              </w:rPr>
              <w:t>税收</w:t>
            </w:r>
          </w:p>
          <w:p>
            <w:pPr>
              <w:adjustRightInd w:val="0"/>
              <w:snapToGrid w:val="0"/>
              <w:spacing w:line="360" w:lineRule="exact"/>
              <w:jc w:val="center"/>
              <w:rPr>
                <w:rFonts w:ascii="宋体" w:cs="Times New Roman"/>
                <w:b/>
                <w:bCs/>
                <w:color w:val="000000"/>
              </w:rPr>
            </w:pPr>
            <w:r>
              <w:rPr>
                <w:rFonts w:hint="eastAsia" w:ascii="宋体" w:hAnsi="宋体" w:cs="宋体"/>
                <w:b/>
                <w:bCs/>
                <w:color w:val="000000"/>
              </w:rPr>
              <w:t>会计</w:t>
            </w:r>
          </w:p>
        </w:tc>
        <w:tc>
          <w:tcPr>
            <w:tcW w:w="3235" w:type="dxa"/>
            <w:vMerge w:val="continue"/>
            <w:tcBorders>
              <w:top w:val="single" w:color="auto" w:sz="4" w:space="0"/>
              <w:left w:val="single" w:color="auto" w:sz="4" w:space="0"/>
              <w:bottom w:val="single" w:color="auto" w:sz="4" w:space="0"/>
              <w:right w:val="single" w:color="auto" w:sz="4" w:space="0"/>
            </w:tcBorders>
          </w:tcPr>
          <w:p>
            <w:pPr>
              <w:adjustRightInd w:val="0"/>
              <w:snapToGrid w:val="0"/>
              <w:spacing w:line="360" w:lineRule="exact"/>
              <w:jc w:val="center"/>
              <w:rPr>
                <w:rFonts w:ascii="宋体" w:cs="Times New Roman"/>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r>
              <w:rPr>
                <w:rFonts w:hint="eastAsia" w:ascii="宋体" w:hAnsi="宋体" w:cs="宋体"/>
                <w:b/>
                <w:bCs/>
              </w:rPr>
              <w:t>一</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r>
              <w:rPr>
                <w:rFonts w:hint="eastAsia" w:ascii="宋体" w:hAnsi="宋体" w:cs="宋体"/>
                <w:b/>
                <w:bCs/>
              </w:rPr>
              <w:t>会计凭证</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735" w:type="dxa"/>
            <w:tcBorders>
              <w:top w:val="single" w:color="auto" w:sz="4" w:space="0"/>
              <w:left w:val="single" w:color="auto" w:sz="4" w:space="0"/>
              <w:bottom w:val="single" w:color="auto" w:sz="4" w:space="0"/>
              <w:right w:val="single" w:color="auto" w:sz="4" w:space="0"/>
            </w:tcBorders>
          </w:tcPr>
          <w:p>
            <w:pPr>
              <w:pStyle w:val="4"/>
              <w:pBdr>
                <w:bottom w:val="none" w:color="auto" w:sz="0" w:space="0"/>
              </w:pBdr>
              <w:tabs>
                <w:tab w:val="clear" w:pos="4153"/>
                <w:tab w:val="clear" w:pos="8306"/>
              </w:tabs>
              <w:adjustRightInd w:val="0"/>
              <w:spacing w:line="260" w:lineRule="exact"/>
              <w:rPr>
                <w:rFonts w:ascii="宋体"/>
                <w:b/>
                <w:bCs/>
                <w:kern w:val="2"/>
                <w:sz w:val="21"/>
                <w:szCs w:val="21"/>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国家金库编送的各种报表及缴库退库凭证</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2</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各收入机关编送的报表</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3</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行政单位和事业单位的各种会计凭证</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包括：原始凭证、记账凭证和传票汇总表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4</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财政总预算拨款凭证和其他会计凭证</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包括：拨款凭证和其他会计凭证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r>
              <w:rPr>
                <w:rFonts w:hint="eastAsia" w:ascii="宋体" w:hAnsi="宋体" w:cs="宋体"/>
                <w:b/>
                <w:bCs/>
              </w:rPr>
              <w:t>二</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r>
              <w:rPr>
                <w:rFonts w:hint="eastAsia" w:ascii="宋体" w:hAnsi="宋体" w:cs="宋体"/>
                <w:b/>
                <w:bCs/>
              </w:rPr>
              <w:t>会计账簿</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5</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日记账</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6</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总账</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7</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税收日记账（总账）</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8</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明细分类、分户账或登记簿</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9</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行政单位和事业单位固定资产卡片</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固定资产报废清理后保管</w:t>
            </w:r>
            <w:r>
              <w:rPr>
                <w:rFonts w:ascii="宋体" w:hAnsi="宋体" w:cs="宋体"/>
              </w:rPr>
              <w:t>5</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r>
              <w:rPr>
                <w:rFonts w:hint="eastAsia" w:ascii="宋体" w:hAnsi="宋体" w:cs="宋体"/>
                <w:b/>
                <w:bCs/>
              </w:rPr>
              <w:t>三</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r>
              <w:rPr>
                <w:rFonts w:hint="eastAsia" w:ascii="宋体" w:hAnsi="宋体" w:cs="宋体"/>
                <w:b/>
                <w:bCs/>
              </w:rPr>
              <w:t>财务会计报告</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10</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政府综合财务报告</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下级财政、本级部门和单位报送的保管</w:t>
            </w:r>
            <w:r>
              <w:rPr>
                <w:rFonts w:ascii="宋体" w:hAnsi="宋体" w:cs="宋体"/>
              </w:rPr>
              <w:t>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11</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部门财务报告</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所属单位报送的保管</w:t>
            </w:r>
            <w:r>
              <w:rPr>
                <w:rFonts w:ascii="宋体" w:hAnsi="宋体" w:cs="宋体"/>
              </w:rPr>
              <w:t>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2"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12</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财政总决算</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下级财政、本级部门和单位报送的保管</w:t>
            </w:r>
            <w:r>
              <w:rPr>
                <w:rFonts w:ascii="宋体" w:hAnsi="宋体" w:cs="宋体"/>
              </w:rPr>
              <w:t>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13</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部门决算</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所属单位报送的保管</w:t>
            </w:r>
            <w:r>
              <w:rPr>
                <w:rFonts w:ascii="宋体" w:hAnsi="宋体" w:cs="宋体"/>
              </w:rPr>
              <w:t>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14</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税收年报（决算）</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15</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国家金库年报（决算）</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16</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基本建设拨、贷款年报（决算）</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17</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行政单位和事业单位会计月、季度报表</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所属单位报送的保管</w:t>
            </w:r>
            <w:r>
              <w:rPr>
                <w:rFonts w:ascii="宋体" w:hAnsi="宋体" w:cs="宋体"/>
              </w:rPr>
              <w:t>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18</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税收会计报表</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所属税务机关报送的保管</w:t>
            </w:r>
            <w:r>
              <w:rPr>
                <w:rFonts w:ascii="宋体" w:hAnsi="宋体" w:cs="宋体"/>
              </w:rPr>
              <w:t>2</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r>
              <w:rPr>
                <w:rFonts w:hint="eastAsia" w:ascii="宋体" w:hAnsi="宋体" w:cs="宋体"/>
                <w:b/>
                <w:bCs/>
              </w:rPr>
              <w:t>四</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r>
              <w:rPr>
                <w:rFonts w:hint="eastAsia" w:ascii="宋体" w:hAnsi="宋体" w:cs="宋体"/>
                <w:b/>
                <w:bCs/>
              </w:rPr>
              <w:t>其他会计资料</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b/>
                <w:bCs/>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19</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银行存款余额调节表</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20</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银行对账单</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10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21</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会计档案移交清册</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ascii="宋体" w:hAnsi="宋体" w:cs="宋体"/>
              </w:rPr>
              <w:t>30</w:t>
            </w:r>
            <w:r>
              <w:rPr>
                <w:rFonts w:hint="eastAsia" w:ascii="宋体" w:hAnsi="宋体" w:cs="宋体"/>
              </w:rPr>
              <w:t>年</w:t>
            </w:r>
          </w:p>
        </w:tc>
        <w:tc>
          <w:tcPr>
            <w:tcW w:w="1132" w:type="dxa"/>
            <w:tcBorders>
              <w:top w:val="single" w:color="auto" w:sz="4" w:space="0"/>
              <w:left w:val="single" w:color="auto" w:sz="4" w:space="0"/>
              <w:bottom w:val="single" w:color="auto" w:sz="4" w:space="0"/>
              <w:right w:val="single" w:color="auto" w:sz="4" w:space="0"/>
            </w:tcBorders>
          </w:tcPr>
          <w:p>
            <w:pPr>
              <w:jc w:val="center"/>
              <w:rPr>
                <w:rFonts w:ascii="宋体" w:cs="Times New Roman"/>
              </w:rPr>
            </w:pPr>
            <w:r>
              <w:rPr>
                <w:rFonts w:ascii="宋体" w:hAnsi="宋体" w:cs="宋体"/>
              </w:rPr>
              <w:t>30</w:t>
            </w:r>
            <w:r>
              <w:rPr>
                <w:rFonts w:hint="eastAsia" w:ascii="宋体" w:hAnsi="宋体" w:cs="宋体"/>
              </w:rPr>
              <w:t>年</w:t>
            </w:r>
          </w:p>
        </w:tc>
        <w:tc>
          <w:tcPr>
            <w:tcW w:w="735" w:type="dxa"/>
            <w:tcBorders>
              <w:top w:val="single" w:color="auto" w:sz="4" w:space="0"/>
              <w:left w:val="single" w:color="auto" w:sz="4" w:space="0"/>
              <w:bottom w:val="single" w:color="auto" w:sz="4" w:space="0"/>
              <w:right w:val="single" w:color="auto" w:sz="4" w:space="0"/>
            </w:tcBorders>
          </w:tcPr>
          <w:p>
            <w:pPr>
              <w:jc w:val="center"/>
              <w:rPr>
                <w:rFonts w:ascii="宋体" w:cs="Times New Roman"/>
              </w:rPr>
            </w:pPr>
            <w:r>
              <w:rPr>
                <w:rFonts w:ascii="宋体" w:hAnsi="宋体" w:cs="宋体"/>
              </w:rPr>
              <w:t>30</w:t>
            </w:r>
            <w:r>
              <w:rPr>
                <w:rFonts w:hint="eastAsia" w:ascii="宋体" w:hAnsi="宋体" w:cs="宋体"/>
              </w:rPr>
              <w:t>年</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0"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22</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会计档案保管清册</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1132" w:type="dxa"/>
            <w:tcBorders>
              <w:top w:val="single" w:color="auto" w:sz="4" w:space="0"/>
              <w:left w:val="single" w:color="auto" w:sz="4" w:space="0"/>
              <w:bottom w:val="single" w:color="auto" w:sz="4" w:space="0"/>
              <w:right w:val="single" w:color="auto" w:sz="4" w:space="0"/>
            </w:tcBorders>
          </w:tcPr>
          <w:p>
            <w:pPr>
              <w:jc w:val="center"/>
              <w:rPr>
                <w:rFonts w:ascii="宋体" w:cs="Times New Roman"/>
              </w:rPr>
            </w:pPr>
            <w:r>
              <w:rPr>
                <w:rFonts w:hint="eastAsia" w:ascii="宋体" w:hAnsi="宋体" w:cs="宋体"/>
              </w:rPr>
              <w:t>永久</w:t>
            </w:r>
          </w:p>
        </w:tc>
        <w:tc>
          <w:tcPr>
            <w:tcW w:w="735" w:type="dxa"/>
            <w:tcBorders>
              <w:top w:val="single" w:color="auto" w:sz="4" w:space="0"/>
              <w:left w:val="single" w:color="auto" w:sz="4" w:space="0"/>
              <w:bottom w:val="single" w:color="auto" w:sz="4" w:space="0"/>
              <w:right w:val="single" w:color="auto" w:sz="4" w:space="0"/>
            </w:tcBorders>
          </w:tcPr>
          <w:p>
            <w:pPr>
              <w:jc w:val="center"/>
              <w:rPr>
                <w:rFonts w:ascii="宋体" w:cs="Times New Roman"/>
              </w:rPr>
            </w:pPr>
            <w:r>
              <w:rPr>
                <w:rFonts w:hint="eastAsia" w:ascii="宋体" w:hAnsi="宋体" w:cs="宋体"/>
              </w:rPr>
              <w:t>永久</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7"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23</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会计档案销毁清册</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8" w:hRule="atLeast"/>
        </w:trPr>
        <w:tc>
          <w:tcPr>
            <w:tcW w:w="588"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hAnsi="宋体" w:cs="宋体"/>
              </w:rPr>
            </w:pPr>
            <w:r>
              <w:rPr>
                <w:rFonts w:ascii="宋体" w:hAnsi="宋体" w:cs="宋体"/>
              </w:rPr>
              <w:t>24</w:t>
            </w:r>
          </w:p>
        </w:tc>
        <w:tc>
          <w:tcPr>
            <w:tcW w:w="3823"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r>
              <w:rPr>
                <w:rFonts w:hint="eastAsia" w:ascii="宋体" w:hAnsi="宋体" w:cs="宋体"/>
              </w:rPr>
              <w:t>会计档案鉴定意见书</w:t>
            </w:r>
          </w:p>
        </w:tc>
        <w:tc>
          <w:tcPr>
            <w:tcW w:w="927"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1132"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7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center"/>
              <w:rPr>
                <w:rFonts w:ascii="宋体" w:cs="Times New Roman"/>
              </w:rPr>
            </w:pPr>
            <w:r>
              <w:rPr>
                <w:rFonts w:hint="eastAsia" w:ascii="宋体" w:hAnsi="宋体" w:cs="宋体"/>
              </w:rPr>
              <w:t>永久</w:t>
            </w:r>
          </w:p>
        </w:tc>
        <w:tc>
          <w:tcPr>
            <w:tcW w:w="3235" w:type="dxa"/>
            <w:tcBorders>
              <w:top w:val="single" w:color="auto" w:sz="4" w:space="0"/>
              <w:left w:val="single" w:color="auto" w:sz="4" w:space="0"/>
              <w:bottom w:val="single" w:color="auto" w:sz="4" w:space="0"/>
              <w:right w:val="single" w:color="auto" w:sz="4" w:space="0"/>
            </w:tcBorders>
          </w:tcPr>
          <w:p>
            <w:pPr>
              <w:adjustRightInd w:val="0"/>
              <w:snapToGrid w:val="0"/>
              <w:spacing w:line="260" w:lineRule="exact"/>
              <w:jc w:val="left"/>
              <w:rPr>
                <w:rFonts w:ascii="宋体" w:cs="Times New Roman"/>
              </w:rPr>
            </w:pPr>
          </w:p>
        </w:tc>
      </w:tr>
    </w:tbl>
    <w:p>
      <w:pPr>
        <w:ind w:left="-2" w:leftChars="-343" w:hanging="718" w:hangingChars="342"/>
        <w:rPr>
          <w:rFonts w:cs="Times New Roman"/>
        </w:rPr>
      </w:pPr>
      <w:r>
        <w:rPr>
          <w:rFonts w:hint="eastAsia" w:cs="宋体"/>
          <w:color w:val="000000"/>
        </w:rPr>
        <w:t>注：税务机关的税务经费会计档案保管期限，按行政单位会计档案保管期限规定办理。</w:t>
      </w:r>
    </w:p>
    <w:p>
      <w:pPr>
        <w:ind w:firstLine="495" w:firstLineChars="236"/>
        <w:rPr>
          <w:rFonts w:cs="Times New Roman"/>
        </w:rPr>
      </w:pPr>
    </w:p>
    <w:p>
      <w:pPr>
        <w:rPr>
          <w:rFonts w:cs="Times New Roman"/>
        </w:rPr>
      </w:pPr>
    </w:p>
    <w:p>
      <w:pPr>
        <w:adjustRightInd w:val="0"/>
        <w:snapToGrid w:val="0"/>
        <w:spacing w:line="300" w:lineRule="exact"/>
        <w:rPr>
          <w:rFonts w:cs="Times New Roman"/>
        </w:rPr>
      </w:pPr>
    </w:p>
    <w:p>
      <w:pPr>
        <w:rPr>
          <w:rFonts w:cs="Times New Roman"/>
        </w:rPr>
      </w:pPr>
    </w:p>
    <w:sectPr>
      <w:footerReference r:id="rId3" w:type="default"/>
      <w:pgSz w:w="11906" w:h="16838"/>
      <w:pgMar w:top="1440" w:right="1797" w:bottom="1246" w:left="162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2</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205F5"/>
    <w:rsid w:val="00001014"/>
    <w:rsid w:val="00013014"/>
    <w:rsid w:val="00026AB4"/>
    <w:rsid w:val="000375C1"/>
    <w:rsid w:val="00055042"/>
    <w:rsid w:val="00067EB4"/>
    <w:rsid w:val="00092FF6"/>
    <w:rsid w:val="00093E12"/>
    <w:rsid w:val="00093E24"/>
    <w:rsid w:val="000968E4"/>
    <w:rsid w:val="000A272A"/>
    <w:rsid w:val="000C2E94"/>
    <w:rsid w:val="000E35CF"/>
    <w:rsid w:val="000E5B96"/>
    <w:rsid w:val="000F238E"/>
    <w:rsid w:val="000F5860"/>
    <w:rsid w:val="000F7DBB"/>
    <w:rsid w:val="00103B30"/>
    <w:rsid w:val="001309D9"/>
    <w:rsid w:val="00144F48"/>
    <w:rsid w:val="001460F1"/>
    <w:rsid w:val="00157A00"/>
    <w:rsid w:val="001822B3"/>
    <w:rsid w:val="001A286E"/>
    <w:rsid w:val="001A6804"/>
    <w:rsid w:val="001A7DB9"/>
    <w:rsid w:val="001B4BA4"/>
    <w:rsid w:val="001C0B38"/>
    <w:rsid w:val="001C4F62"/>
    <w:rsid w:val="001D4767"/>
    <w:rsid w:val="001F0C68"/>
    <w:rsid w:val="00200A76"/>
    <w:rsid w:val="00203B85"/>
    <w:rsid w:val="00207B8E"/>
    <w:rsid w:val="00220691"/>
    <w:rsid w:val="00233487"/>
    <w:rsid w:val="00236E7A"/>
    <w:rsid w:val="0025409C"/>
    <w:rsid w:val="00267484"/>
    <w:rsid w:val="002C7691"/>
    <w:rsid w:val="002F1A16"/>
    <w:rsid w:val="002F26AA"/>
    <w:rsid w:val="00313C0E"/>
    <w:rsid w:val="0031527C"/>
    <w:rsid w:val="0031730A"/>
    <w:rsid w:val="003264EB"/>
    <w:rsid w:val="00326BE8"/>
    <w:rsid w:val="003345D8"/>
    <w:rsid w:val="003350DA"/>
    <w:rsid w:val="00350FA1"/>
    <w:rsid w:val="0035754E"/>
    <w:rsid w:val="00361598"/>
    <w:rsid w:val="00363FFD"/>
    <w:rsid w:val="003807E8"/>
    <w:rsid w:val="0039202C"/>
    <w:rsid w:val="003A3922"/>
    <w:rsid w:val="003A572F"/>
    <w:rsid w:val="003A629A"/>
    <w:rsid w:val="003D4D9D"/>
    <w:rsid w:val="003F72B0"/>
    <w:rsid w:val="00403641"/>
    <w:rsid w:val="00407321"/>
    <w:rsid w:val="00413C1D"/>
    <w:rsid w:val="004244F0"/>
    <w:rsid w:val="0042603D"/>
    <w:rsid w:val="004444DF"/>
    <w:rsid w:val="00452FEC"/>
    <w:rsid w:val="00454FB6"/>
    <w:rsid w:val="00462534"/>
    <w:rsid w:val="00472EA1"/>
    <w:rsid w:val="004730F1"/>
    <w:rsid w:val="0047687E"/>
    <w:rsid w:val="00477325"/>
    <w:rsid w:val="00485074"/>
    <w:rsid w:val="004A51BD"/>
    <w:rsid w:val="004A6928"/>
    <w:rsid w:val="004C07FE"/>
    <w:rsid w:val="004D0472"/>
    <w:rsid w:val="004E08E0"/>
    <w:rsid w:val="0051601C"/>
    <w:rsid w:val="00524D3F"/>
    <w:rsid w:val="00554B1A"/>
    <w:rsid w:val="00556C2B"/>
    <w:rsid w:val="00561FE6"/>
    <w:rsid w:val="00566056"/>
    <w:rsid w:val="005742C3"/>
    <w:rsid w:val="005774BB"/>
    <w:rsid w:val="005A4608"/>
    <w:rsid w:val="005C665D"/>
    <w:rsid w:val="005E1744"/>
    <w:rsid w:val="005F0519"/>
    <w:rsid w:val="00607140"/>
    <w:rsid w:val="006139BC"/>
    <w:rsid w:val="0062178C"/>
    <w:rsid w:val="00623904"/>
    <w:rsid w:val="00631923"/>
    <w:rsid w:val="00631E90"/>
    <w:rsid w:val="00633A1A"/>
    <w:rsid w:val="006530AE"/>
    <w:rsid w:val="006531DB"/>
    <w:rsid w:val="006753DD"/>
    <w:rsid w:val="00681230"/>
    <w:rsid w:val="006946FB"/>
    <w:rsid w:val="00697B3F"/>
    <w:rsid w:val="006A4806"/>
    <w:rsid w:val="006A6C7F"/>
    <w:rsid w:val="006B0075"/>
    <w:rsid w:val="006B05A6"/>
    <w:rsid w:val="006B4E78"/>
    <w:rsid w:val="007344ED"/>
    <w:rsid w:val="007675A5"/>
    <w:rsid w:val="00772E61"/>
    <w:rsid w:val="00777876"/>
    <w:rsid w:val="007C78DB"/>
    <w:rsid w:val="007D416C"/>
    <w:rsid w:val="00805ED3"/>
    <w:rsid w:val="0086754D"/>
    <w:rsid w:val="00873EB2"/>
    <w:rsid w:val="00897AAC"/>
    <w:rsid w:val="008A0192"/>
    <w:rsid w:val="008A4B7A"/>
    <w:rsid w:val="008D6059"/>
    <w:rsid w:val="00933F14"/>
    <w:rsid w:val="00961B55"/>
    <w:rsid w:val="00996D70"/>
    <w:rsid w:val="009A1A4E"/>
    <w:rsid w:val="009B2C4E"/>
    <w:rsid w:val="009C0942"/>
    <w:rsid w:val="009D4768"/>
    <w:rsid w:val="009D6188"/>
    <w:rsid w:val="00A00704"/>
    <w:rsid w:val="00A00DF0"/>
    <w:rsid w:val="00A165B7"/>
    <w:rsid w:val="00A34636"/>
    <w:rsid w:val="00A34D07"/>
    <w:rsid w:val="00A3559A"/>
    <w:rsid w:val="00A55881"/>
    <w:rsid w:val="00A55D75"/>
    <w:rsid w:val="00A63E26"/>
    <w:rsid w:val="00A82262"/>
    <w:rsid w:val="00A936E1"/>
    <w:rsid w:val="00A95CA7"/>
    <w:rsid w:val="00AA03BC"/>
    <w:rsid w:val="00AA08E8"/>
    <w:rsid w:val="00AB0371"/>
    <w:rsid w:val="00AD441C"/>
    <w:rsid w:val="00B006EC"/>
    <w:rsid w:val="00B0100C"/>
    <w:rsid w:val="00B31EC0"/>
    <w:rsid w:val="00BB0788"/>
    <w:rsid w:val="00BC3E9E"/>
    <w:rsid w:val="00BC5FDB"/>
    <w:rsid w:val="00BD2756"/>
    <w:rsid w:val="00BF0A2B"/>
    <w:rsid w:val="00C02256"/>
    <w:rsid w:val="00C07678"/>
    <w:rsid w:val="00C15D2A"/>
    <w:rsid w:val="00C15D60"/>
    <w:rsid w:val="00C35377"/>
    <w:rsid w:val="00C620F2"/>
    <w:rsid w:val="00C75B1D"/>
    <w:rsid w:val="00C928F5"/>
    <w:rsid w:val="00CA41F5"/>
    <w:rsid w:val="00CF4DFA"/>
    <w:rsid w:val="00D04662"/>
    <w:rsid w:val="00D12AC4"/>
    <w:rsid w:val="00D205F5"/>
    <w:rsid w:val="00D22193"/>
    <w:rsid w:val="00D232BB"/>
    <w:rsid w:val="00D24594"/>
    <w:rsid w:val="00D32536"/>
    <w:rsid w:val="00D43183"/>
    <w:rsid w:val="00D56620"/>
    <w:rsid w:val="00D63A5A"/>
    <w:rsid w:val="00D66A56"/>
    <w:rsid w:val="00DA38A1"/>
    <w:rsid w:val="00DB3A3C"/>
    <w:rsid w:val="00DC5175"/>
    <w:rsid w:val="00E138F7"/>
    <w:rsid w:val="00E24955"/>
    <w:rsid w:val="00E36C30"/>
    <w:rsid w:val="00E46D8D"/>
    <w:rsid w:val="00E500C7"/>
    <w:rsid w:val="00E61449"/>
    <w:rsid w:val="00E64F43"/>
    <w:rsid w:val="00E66012"/>
    <w:rsid w:val="00E733A3"/>
    <w:rsid w:val="00E76DF7"/>
    <w:rsid w:val="00E827F9"/>
    <w:rsid w:val="00E86374"/>
    <w:rsid w:val="00E9283E"/>
    <w:rsid w:val="00EA1E05"/>
    <w:rsid w:val="00EA7F6F"/>
    <w:rsid w:val="00EB1313"/>
    <w:rsid w:val="00EE217F"/>
    <w:rsid w:val="00EE30D9"/>
    <w:rsid w:val="00EE6BE8"/>
    <w:rsid w:val="00EF48A9"/>
    <w:rsid w:val="00F06739"/>
    <w:rsid w:val="00F1506F"/>
    <w:rsid w:val="00F24302"/>
    <w:rsid w:val="00F27664"/>
    <w:rsid w:val="00F3420A"/>
    <w:rsid w:val="00F3693D"/>
    <w:rsid w:val="00F44BE0"/>
    <w:rsid w:val="00F5576D"/>
    <w:rsid w:val="00F56689"/>
    <w:rsid w:val="00F85E6F"/>
    <w:rsid w:val="00F908C8"/>
    <w:rsid w:val="00FA5119"/>
    <w:rsid w:val="00FA7C9D"/>
    <w:rsid w:val="00FC39F4"/>
    <w:rsid w:val="00FC55D6"/>
    <w:rsid w:val="00FD523D"/>
    <w:rsid w:val="00FD6EA7"/>
    <w:rsid w:val="00FD7578"/>
    <w:rsid w:val="05C23450"/>
    <w:rsid w:val="4E8F5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6">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2"/>
    <w:semiHidden/>
    <w:uiPriority w:val="0"/>
    <w:rPr>
      <w:rFonts w:cs="Times New Roman"/>
      <w:kern w:val="0"/>
      <w:sz w:val="18"/>
      <w:szCs w:val="18"/>
    </w:rPr>
  </w:style>
  <w:style w:type="paragraph" w:styleId="3">
    <w:name w:val="footer"/>
    <w:basedOn w:val="1"/>
    <w:link w:val="11"/>
    <w:uiPriority w:val="0"/>
    <w:pPr>
      <w:tabs>
        <w:tab w:val="center" w:pos="4153"/>
        <w:tab w:val="right" w:pos="8306"/>
      </w:tabs>
      <w:snapToGrid w:val="0"/>
      <w:jc w:val="left"/>
    </w:pPr>
    <w:rPr>
      <w:rFonts w:cs="Times New Roman"/>
      <w:kern w:val="0"/>
      <w:sz w:val="18"/>
      <w:szCs w:val="18"/>
    </w:rPr>
  </w:style>
  <w:style w:type="paragraph" w:styleId="4">
    <w:name w:val="header"/>
    <w:basedOn w:val="1"/>
    <w:link w:val="10"/>
    <w:uiPriority w:val="0"/>
    <w:pPr>
      <w:pBdr>
        <w:bottom w:val="single" w:color="auto" w:sz="6" w:space="1"/>
      </w:pBdr>
      <w:tabs>
        <w:tab w:val="center" w:pos="4153"/>
        <w:tab w:val="right" w:pos="8306"/>
      </w:tabs>
      <w:snapToGrid w:val="0"/>
      <w:jc w:val="center"/>
    </w:pPr>
    <w:rPr>
      <w:rFonts w:cs="Times New Roman"/>
      <w:kern w:val="0"/>
      <w:sz w:val="18"/>
      <w:szCs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locked/>
    <w:uiPriority w:val="0"/>
    <w:rPr>
      <w:b/>
    </w:rPr>
  </w:style>
  <w:style w:type="character" w:styleId="8">
    <w:name w:val="Hyperlink"/>
    <w:basedOn w:val="6"/>
    <w:uiPriority w:val="0"/>
    <w:rPr>
      <w:color w:val="0000FF"/>
      <w:u w:val="single"/>
    </w:rPr>
  </w:style>
  <w:style w:type="character" w:customStyle="1" w:styleId="10">
    <w:name w:val="页眉 Char"/>
    <w:link w:val="4"/>
    <w:qFormat/>
    <w:locked/>
    <w:uiPriority w:val="0"/>
    <w:rPr>
      <w:rFonts w:cs="Times New Roman"/>
      <w:sz w:val="18"/>
      <w:szCs w:val="18"/>
    </w:rPr>
  </w:style>
  <w:style w:type="character" w:customStyle="1" w:styleId="11">
    <w:name w:val="页脚 Char"/>
    <w:link w:val="3"/>
    <w:locked/>
    <w:uiPriority w:val="0"/>
    <w:rPr>
      <w:rFonts w:cs="Times New Roman"/>
      <w:sz w:val="18"/>
      <w:szCs w:val="18"/>
    </w:rPr>
  </w:style>
  <w:style w:type="character" w:customStyle="1" w:styleId="12">
    <w:name w:val="批注框文本 Char"/>
    <w:link w:val="2"/>
    <w:semiHidden/>
    <w:locked/>
    <w:uiPriority w:val="0"/>
    <w:rPr>
      <w:rFonts w:cs="Times New Roman"/>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72E891-D915-4ED3-BCEC-44AD96CD52E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178</Words>
  <Characters>1017</Characters>
  <Lines>8</Lines>
  <Paragraphs>2</Paragraphs>
  <ScaleCrop>false</ScaleCrop>
  <LinksUpToDate>false</LinksUpToDate>
  <CharactersWithSpaces>1193</CharactersWithSpaces>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2015-12-07T07:25:00Z</dcterms:created>
  <dc:creator>l</dc:creator>
  <cp:lastModifiedBy>Administrator</cp:lastModifiedBy>
  <cp:lastPrinted>2017-11-10T01:41:41Z</cp:lastPrinted>
  <dcterms:modified xsi:type="dcterms:W3CDTF">2017-11-10T01:43:34Z</dcterms:modified>
  <dc:title>附件1：</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2052-10.1.0.6877</vt:lpwstr>
  </property>
</Properties>
</file>