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7"/>
        <w:widowControl/>
        <w:wordWrap w:val="0"/>
        <w:spacing w:line="1000" w:lineRule="exact"/>
        <w:jc w:val="center"/>
        <w:rPr>
          <w:rFonts w:hint="default" w:ascii="楷体" w:hAnsi="楷体" w:eastAsia="楷体"/>
          <w:sz w:val="32"/>
          <w:szCs w:val="32"/>
          <w:highlight w:val="red"/>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3706870102606</w:t>
      </w:r>
    </w:p>
    <w:p>
      <w:pPr>
        <w:ind w:firstLine="6300" w:firstLineChars="3000"/>
      </w:pPr>
    </w:p>
    <w:p>
      <w:pPr>
        <w:pStyle w:val="17"/>
        <w:widowControl/>
        <w:spacing w:line="1000" w:lineRule="exact"/>
        <w:contextualSpacing/>
        <w:jc w:val="left"/>
        <w:rPr>
          <w:rFonts w:hint="default" w:ascii="楷体" w:hAnsi="楷体" w:eastAsia="楷体"/>
          <w:sz w:val="44"/>
          <w:szCs w:val="44"/>
        </w:rPr>
      </w:pPr>
      <w:r>
        <w:rPr>
          <w:rFonts w:ascii="楷体" w:hAnsi="楷体" w:eastAsia="楷体"/>
          <w:sz w:val="44"/>
          <w:szCs w:val="44"/>
        </w:rPr>
        <w:t>行政许可</w:t>
      </w:r>
    </w:p>
    <w:p>
      <w:pPr>
        <w:rPr>
          <w:sz w:val="44"/>
          <w:szCs w:val="44"/>
        </w:rPr>
      </w:pPr>
    </w:p>
    <w:p>
      <w:pPr>
        <w:rPr>
          <w:sz w:val="44"/>
          <w:szCs w:val="44"/>
        </w:rPr>
      </w:pPr>
    </w:p>
    <w:p>
      <w:pPr>
        <w:spacing w:line="900" w:lineRule="exact"/>
        <w:ind w:firstLine="1325" w:firstLineChars="300"/>
        <w:rPr>
          <w:rFonts w:ascii="方正小标宋简体" w:eastAsia="方正小标宋简体"/>
          <w:b/>
          <w:sz w:val="44"/>
          <w:szCs w:val="44"/>
        </w:rPr>
      </w:pPr>
    </w:p>
    <w:p>
      <w:pPr>
        <w:pStyle w:val="17"/>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农 业 植 物 检 疫</w:t>
      </w:r>
    </w:p>
    <w:p>
      <w:pPr>
        <w:pStyle w:val="17"/>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服务指南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jc w:val="center"/>
        <w:rPr>
          <w:rFonts w:ascii="楷体" w:hAnsi="楷体" w:eastAsia="楷体"/>
          <w:kern w:val="0"/>
          <w:sz w:val="44"/>
          <w:szCs w:val="44"/>
        </w:rPr>
      </w:pPr>
      <w:r>
        <w:rPr>
          <w:rFonts w:hint="eastAsia" w:ascii="楷体" w:hAnsi="楷体" w:eastAsia="楷体"/>
          <w:kern w:val="0"/>
          <w:sz w:val="44"/>
          <w:szCs w:val="44"/>
        </w:rPr>
        <w:t>海阳市农业局发布</w:t>
      </w:r>
    </w:p>
    <w:p>
      <w:pPr>
        <w:jc w:val="center"/>
        <w:rPr>
          <w:rFonts w:ascii="宋体" w:hAnsi="宋体"/>
          <w:sz w:val="44"/>
          <w:szCs w:val="44"/>
        </w:rPr>
      </w:pPr>
      <w:r>
        <w:rPr>
          <w:rFonts w:hint="eastAsia" w:ascii="宋体" w:hAnsi="宋体"/>
          <w:sz w:val="44"/>
          <w:szCs w:val="44"/>
        </w:rPr>
        <w:t>2015-9-9</w:t>
      </w:r>
    </w:p>
    <w:p>
      <w:pPr>
        <w:jc w:val="center"/>
        <w:rPr>
          <w:rFonts w:ascii="宋体" w:hAnsi="宋体"/>
          <w:sz w:val="44"/>
          <w:szCs w:val="44"/>
        </w:rPr>
      </w:pPr>
    </w:p>
    <w:p>
      <w:pPr>
        <w:widowControl/>
        <w:jc w:val="left"/>
        <w:rPr>
          <w:rFonts w:ascii="宋体" w:hAnsi="宋体"/>
          <w:sz w:val="44"/>
          <w:szCs w:val="44"/>
        </w:rPr>
      </w:pPr>
    </w:p>
    <w:p>
      <w:pPr>
        <w:jc w:val="center"/>
        <w:rPr>
          <w:rFonts w:ascii="宋体" w:hAnsi="宋体"/>
          <w:sz w:val="44"/>
          <w:szCs w:val="44"/>
        </w:rPr>
      </w:pPr>
    </w:p>
    <w:p>
      <w:pPr>
        <w:ind w:firstLine="2420" w:firstLineChars="550"/>
        <w:rPr>
          <w:rFonts w:ascii="仿宋_GB2312" w:eastAsia="仿宋_GB2312"/>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 业 植 物 检 疫</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服务指南</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pStyle w:val="7"/>
        <w:rPr>
          <w:rFonts w:ascii="Calibri" w:hAnsi="Calibri" w:eastAsia="宋体" w:cs="黑体"/>
          <w:sz w:val="28"/>
          <w:szCs w:val="28"/>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"1-1" \h \z \u </w:instrText>
      </w:r>
      <w:r>
        <w:rPr>
          <w:rFonts w:hint="eastAsia" w:ascii="仿宋_GB2312" w:eastAsia="仿宋_GB2312"/>
          <w:sz w:val="32"/>
          <w:szCs w:val="32"/>
        </w:rPr>
        <w:fldChar w:fldCharType="separate"/>
      </w:r>
      <w:r>
        <w:rPr>
          <w:sz w:val="28"/>
          <w:szCs w:val="28"/>
        </w:rPr>
        <w:fldChar w:fldCharType="begin"/>
      </w:r>
      <w:r>
        <w:rPr>
          <w:sz w:val="28"/>
          <w:szCs w:val="28"/>
        </w:rPr>
        <w:instrText xml:space="preserve">HYPERLINK  \l "_Toc430245948" </w:instrText>
      </w:r>
      <w:r>
        <w:rPr>
          <w:sz w:val="28"/>
          <w:szCs w:val="28"/>
        </w:rPr>
        <w:fldChar w:fldCharType="separate"/>
      </w:r>
      <w:r>
        <w:rPr>
          <w:rStyle w:val="14"/>
          <w:rFonts w:hint="eastAsia" w:ascii="黑体" w:hAnsi="黑体" w:eastAsia="黑体"/>
          <w:sz w:val="28"/>
          <w:szCs w:val="28"/>
        </w:rPr>
        <w:t>一、办理要素</w:t>
      </w:r>
      <w:r>
        <w:rPr>
          <w:sz w:val="28"/>
          <w:szCs w:val="28"/>
        </w:rPr>
        <w:tab/>
      </w:r>
      <w:r>
        <w:rPr>
          <w:rFonts w:hint="eastAsia" w:ascii="仿宋_GB2312" w:hAnsi="仿宋_GB2312" w:eastAsia="仿宋_GB2312" w:cs="仿宋_GB2312"/>
          <w:sz w:val="28"/>
          <w:szCs w:val="28"/>
          <w:lang w:val="en-US" w:eastAsia="zh-CN"/>
        </w:rPr>
        <w:t>4</w:t>
      </w:r>
      <w:r>
        <w:rPr>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"_Toc430245949"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（一）事项名称和编码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"_Toc430245950"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（二）实施机构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"_Toc430245951"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（三）申请主体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"_Toc430245952"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（四）受理地点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"_Toc430245953"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（五）办理依据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"_Toc430245954"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（六）办理条件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"_Toc430245955"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（七）申请材料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"_Toc430245956"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（八）办理时限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"_Toc430245957"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（九）收费标准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"_Toc430245958"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（十）咨询服务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sz w:val="28"/>
          <w:szCs w:val="28"/>
        </w:rPr>
        <w:fldChar w:fldCharType="begin"/>
      </w:r>
      <w:r>
        <w:rPr>
          <w:sz w:val="28"/>
          <w:szCs w:val="28"/>
        </w:rPr>
        <w:instrText xml:space="preserve">HYPERLINK  \l "_Toc430245959" </w:instrText>
      </w:r>
      <w:r>
        <w:rPr>
          <w:sz w:val="28"/>
          <w:szCs w:val="28"/>
        </w:rPr>
        <w:fldChar w:fldCharType="separate"/>
      </w:r>
      <w:r>
        <w:rPr>
          <w:rStyle w:val="14"/>
          <w:rFonts w:hint="eastAsia" w:ascii="黑体" w:hAnsi="黑体" w:eastAsia="黑体"/>
          <w:sz w:val="28"/>
          <w:szCs w:val="28"/>
        </w:rPr>
        <w:t>二、办理流程</w:t>
      </w:r>
      <w:r>
        <w:rPr>
          <w:sz w:val="28"/>
          <w:szCs w:val="28"/>
        </w:rPr>
        <w:tab/>
      </w:r>
      <w:r>
        <w:rPr>
          <w:rFonts w:hint="eastAsia" w:ascii="仿宋_GB2312" w:hAnsi="仿宋_GB2312" w:eastAsia="仿宋_GB2312" w:cs="仿宋_GB2312"/>
          <w:sz w:val="28"/>
          <w:szCs w:val="28"/>
          <w:lang w:val="en-US" w:eastAsia="zh-CN"/>
        </w:rPr>
        <w:t>6</w:t>
      </w:r>
      <w:r>
        <w:rPr>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"_Toc430245960"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（一）申请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"_Toc430245961"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（二）受理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"_Toc430245962"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（三）办理进程查询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"_Toc430245963"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（四）获取审批决定书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"_Toc430245964"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（五）流程图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sz w:val="28"/>
          <w:szCs w:val="28"/>
        </w:rPr>
        <w:fldChar w:fldCharType="begin"/>
      </w:r>
      <w:r>
        <w:rPr>
          <w:sz w:val="28"/>
          <w:szCs w:val="28"/>
        </w:rPr>
        <w:instrText xml:space="preserve">HYPERLINK  \l "_Toc430245965" </w:instrText>
      </w:r>
      <w:r>
        <w:rPr>
          <w:sz w:val="28"/>
          <w:szCs w:val="28"/>
        </w:rPr>
        <w:fldChar w:fldCharType="separate"/>
      </w:r>
      <w:r>
        <w:rPr>
          <w:rStyle w:val="14"/>
          <w:rFonts w:hint="eastAsia" w:ascii="黑体" w:hAnsi="黑体" w:eastAsia="黑体"/>
          <w:sz w:val="28"/>
          <w:szCs w:val="28"/>
        </w:rPr>
        <w:t>三、法律救济</w:t>
      </w:r>
      <w:r>
        <w:rPr>
          <w:sz w:val="28"/>
          <w:szCs w:val="28"/>
        </w:rPr>
        <w:tab/>
      </w:r>
      <w:r>
        <w:rPr>
          <w:rFonts w:hint="eastAsia" w:ascii="仿宋_GB2312" w:hAnsi="仿宋_GB2312" w:eastAsia="仿宋_GB2312" w:cs="仿宋_GB2312"/>
          <w:sz w:val="28"/>
          <w:szCs w:val="28"/>
          <w:lang w:val="en-US" w:eastAsia="zh-CN"/>
        </w:rPr>
        <w:t>7</w:t>
      </w:r>
      <w:r>
        <w:rPr>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"_Toc430245966"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（一）投诉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"_Toc430245967"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（二）行政复议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sz w:val="28"/>
          <w:szCs w:val="28"/>
        </w:rPr>
        <w:fldChar w:fldCharType="begin"/>
      </w:r>
      <w:r>
        <w:rPr>
          <w:sz w:val="28"/>
          <w:szCs w:val="28"/>
        </w:rPr>
        <w:instrText xml:space="preserve">HYPERLINK  \l "_Toc430245968" </w:instrText>
      </w:r>
      <w:r>
        <w:rPr>
          <w:sz w:val="28"/>
          <w:szCs w:val="28"/>
        </w:rPr>
        <w:fldChar w:fldCharType="separate"/>
      </w:r>
      <w:r>
        <w:rPr>
          <w:rStyle w:val="14"/>
          <w:rFonts w:hint="eastAsia" w:ascii="黑体" w:hAnsi="黑体" w:eastAsia="黑体"/>
          <w:sz w:val="28"/>
          <w:szCs w:val="28"/>
        </w:rPr>
        <w:t>四、表单填写</w:t>
      </w:r>
      <w:r>
        <w:rPr>
          <w:sz w:val="28"/>
          <w:szCs w:val="28"/>
        </w:rPr>
        <w:tab/>
      </w:r>
      <w:r>
        <w:rPr>
          <w:rFonts w:hint="eastAsia" w:ascii="仿宋_GB2312" w:hAnsi="仿宋_GB2312" w:eastAsia="仿宋_GB2312" w:cs="仿宋_GB2312"/>
          <w:sz w:val="28"/>
          <w:szCs w:val="28"/>
          <w:lang w:val="en-US" w:eastAsia="zh-CN"/>
        </w:rPr>
        <w:t>8</w:t>
      </w:r>
      <w:r>
        <w:rPr>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"_Toc430245969"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申请书示范文本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p>
    <w:p>
      <w:pPr>
        <w:pStyle w:val="7"/>
        <w:rPr>
          <w:rFonts w:ascii="Calibri" w:hAnsi="Calibri" w:eastAsia="宋体" w:cs="黑体"/>
          <w:sz w:val="28"/>
          <w:szCs w:val="28"/>
        </w:rPr>
      </w:pPr>
      <w:r>
        <w:rPr>
          <w:sz w:val="28"/>
          <w:szCs w:val="28"/>
        </w:rPr>
        <w:fldChar w:fldCharType="begin"/>
      </w:r>
      <w:r>
        <w:rPr>
          <w:sz w:val="28"/>
          <w:szCs w:val="28"/>
        </w:rPr>
        <w:instrText xml:space="preserve">HYPERLINK  \l "_Toc430245970" </w:instrText>
      </w:r>
      <w:r>
        <w:rPr>
          <w:sz w:val="28"/>
          <w:szCs w:val="28"/>
        </w:rPr>
        <w:fldChar w:fldCharType="separate"/>
      </w:r>
      <w:r>
        <w:rPr>
          <w:rStyle w:val="14"/>
          <w:rFonts w:hint="eastAsia" w:ascii="黑体" w:hAnsi="黑体" w:eastAsia="黑体"/>
          <w:sz w:val="28"/>
          <w:szCs w:val="28"/>
        </w:rPr>
        <w:t>五、有关说明</w:t>
      </w:r>
      <w:r>
        <w:rPr>
          <w:sz w:val="28"/>
          <w:szCs w:val="28"/>
        </w:rPr>
        <w:tab/>
      </w:r>
      <w:r>
        <w:rPr>
          <w:rFonts w:hint="eastAsia" w:ascii="仿宋_GB2312" w:hAnsi="仿宋_GB2312" w:eastAsia="仿宋_GB2312" w:cs="仿宋_GB2312"/>
          <w:sz w:val="28"/>
          <w:szCs w:val="28"/>
          <w:lang w:val="en-US" w:eastAsia="zh-CN"/>
        </w:rPr>
        <w:t>8</w:t>
      </w:r>
      <w:r>
        <w:rPr>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"_Toc430245971"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附件1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p>
    <w:p>
      <w:pPr>
        <w:pStyle w:val="7"/>
        <w:rPr>
          <w:rFonts w:ascii="Calibri" w:hAnsi="Calibri" w:eastAsia="宋体" w:cs="黑体"/>
          <w:sz w:val="32"/>
          <w:szCs w:val="3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"_Toc430245972"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附件2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0</w:t>
      </w:r>
    </w:p>
    <w:p>
      <w:pPr>
        <w:spacing w:line="560" w:lineRule="exact"/>
        <w:rPr>
          <w:sz w:val="32"/>
          <w:szCs w:val="32"/>
        </w:rPr>
      </w:pPr>
      <w:r>
        <w:rPr>
          <w:rFonts w:hint="eastAsia" w:ascii="仿宋_GB2312" w:eastAsia="仿宋_GB2312"/>
          <w:sz w:val="32"/>
          <w:szCs w:val="32"/>
        </w:rPr>
        <w:fldChar w:fldCharType="end"/>
      </w:r>
      <w:bookmarkStart w:id="25" w:name="_GoBack"/>
      <w:bookmarkEnd w:id="25"/>
    </w:p>
    <w:p>
      <w:pPr>
        <w:spacing w:line="500" w:lineRule="exact"/>
        <w:rPr>
          <w:sz w:val="32"/>
          <w:szCs w:val="32"/>
        </w:rPr>
      </w:pPr>
    </w:p>
    <w:p>
      <w:pPr>
        <w:widowControl/>
        <w:jc w:val="left"/>
        <w:rPr>
          <w:rFonts w:ascii="黑体" w:eastAsia="黑体"/>
          <w:sz w:val="32"/>
          <w:szCs w:val="32"/>
        </w:rPr>
        <w:sectPr>
          <w:headerReference r:id="rId4" w:type="default"/>
          <w:footerReference r:id="rId5" w:type="default"/>
          <w:footerReference r:id="rId6" w:type="even"/>
          <w:pgSz w:w="11906" w:h="16838"/>
          <w:pgMar w:top="1077" w:right="1134" w:bottom="1077" w:left="1701" w:header="851" w:footer="850" w:gutter="0"/>
          <w:pgNumType w:fmt="decimal"/>
          <w:cols w:space="720" w:num="1"/>
          <w:docGrid w:type="lines" w:linePitch="312" w:charSpace="0"/>
        </w:sectPr>
      </w:pP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0" w:name="_Toc430245948"/>
      <w:r>
        <w:rPr>
          <w:rFonts w:hint="eastAsia" w:ascii="黑体" w:hAnsi="黑体" w:eastAsia="黑体"/>
          <w:b w:val="0"/>
        </w:rPr>
        <w:t>一、办理要素</w:t>
      </w:r>
      <w:bookmarkEnd w:id="0"/>
    </w:p>
    <w:p>
      <w:pPr>
        <w:wordWrap/>
        <w:adjustRightInd/>
        <w:snapToGrid/>
        <w:spacing w:line="600" w:lineRule="exact"/>
        <w:ind w:left="0" w:leftChars="0" w:right="0" w:firstLine="640" w:firstLineChars="200"/>
        <w:jc w:val="left"/>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办理要素包括：事项名称和编码、实施机构、申请主体、受理地点、办理依据、办理条件、申请材料、办理时限、收费标准与依据、申请人权利和义务、咨询服务等。</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 w:name="_Toc430245949"/>
      <w:r>
        <w:rPr>
          <w:rFonts w:hint="eastAsia" w:ascii="楷体_GB2312" w:hAnsi="楷体" w:eastAsia="楷体_GB2312"/>
          <w:b w:val="0"/>
          <w:sz w:val="32"/>
          <w:szCs w:val="32"/>
          <w:shd w:val="clear" w:color="auto" w:fill="FFFFFF"/>
        </w:rPr>
        <w:t>（一）事项名称和编码</w:t>
      </w:r>
      <w:bookmarkEnd w:id="1"/>
    </w:p>
    <w:p>
      <w:pPr>
        <w:wordWrap/>
        <w:adjustRightInd/>
        <w:snapToGrid/>
        <w:spacing w:line="600" w:lineRule="exact"/>
        <w:ind w:left="0" w:leftChars="0" w:right="0" w:firstLine="640" w:firstLineChars="200"/>
        <w:jc w:val="left"/>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事项名称：农业植物检疫</w:t>
      </w:r>
    </w:p>
    <w:p>
      <w:pPr>
        <w:wordWrap/>
        <w:adjustRightInd/>
        <w:snapToGrid/>
        <w:spacing w:line="600" w:lineRule="exact"/>
        <w:ind w:left="0" w:leftChars="0" w:right="0" w:firstLine="640" w:firstLineChars="200"/>
        <w:jc w:val="left"/>
        <w:textAlignment w:val="auto"/>
        <w:rPr>
          <w:rFonts w:eastAsia="仿宋_GB2312"/>
          <w:sz w:val="32"/>
          <w:szCs w:val="32"/>
        </w:rPr>
      </w:pPr>
      <w:r>
        <w:rPr>
          <w:rFonts w:hint="eastAsia" w:ascii="仿宋_GB2312" w:eastAsia="仿宋_GB2312"/>
          <w:color w:val="000000"/>
          <w:sz w:val="32"/>
          <w:szCs w:val="32"/>
          <w:shd w:val="clear" w:color="auto" w:fill="FFFFFF"/>
        </w:rPr>
        <w:t>编码：</w:t>
      </w:r>
      <w:r>
        <w:rPr>
          <w:rFonts w:ascii="仿宋_GB2312" w:hAnsi="仿宋_GB2312" w:eastAsia="仿宋_GB2312" w:cs="仿宋_GB2312"/>
          <w:sz w:val="32"/>
          <w:szCs w:val="32"/>
        </w:rPr>
        <w:t>3706870102606</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2" w:name="_Toc430245950"/>
      <w:r>
        <w:rPr>
          <w:rFonts w:hint="eastAsia" w:ascii="楷体_GB2312" w:hAnsi="楷体" w:eastAsia="楷体_GB2312"/>
          <w:b w:val="0"/>
          <w:sz w:val="32"/>
          <w:szCs w:val="32"/>
          <w:shd w:val="clear" w:color="auto" w:fill="FFFFFF"/>
        </w:rPr>
        <w:t>（二）实施机构</w:t>
      </w:r>
      <w:bookmarkEnd w:id="2"/>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海阳市农业局植物保护站</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3" w:name="_Toc430245951"/>
      <w:r>
        <w:rPr>
          <w:rFonts w:hint="eastAsia" w:ascii="楷体_GB2312" w:hAnsi="楷体" w:eastAsia="楷体_GB2312"/>
          <w:b w:val="0"/>
          <w:sz w:val="32"/>
          <w:szCs w:val="32"/>
          <w:shd w:val="clear" w:color="auto" w:fill="FFFFFF"/>
        </w:rPr>
        <w:t>（三）申请主体</w:t>
      </w:r>
      <w:bookmarkEnd w:id="3"/>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在海阳市行政区域内种子、苗木及其他繁殖材料的生产单位、经营单位和个人</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4" w:name="_Toc430245952"/>
      <w:r>
        <w:rPr>
          <w:rFonts w:hint="eastAsia" w:ascii="楷体_GB2312" w:hAnsi="楷体" w:eastAsia="楷体_GB2312"/>
          <w:b w:val="0"/>
          <w:sz w:val="32"/>
          <w:szCs w:val="32"/>
          <w:shd w:val="clear" w:color="auto" w:fill="FFFFFF"/>
        </w:rPr>
        <w:t>（四）受理地点</w:t>
      </w:r>
      <w:bookmarkEnd w:id="4"/>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color w:val="000000"/>
          <w:sz w:val="32"/>
          <w:szCs w:val="32"/>
          <w:shd w:val="clear" w:color="auto" w:fill="FFFFFF"/>
        </w:rPr>
        <w:t>海阳市农业局植物保护站</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5" w:name="_Toc430245953"/>
      <w:r>
        <w:rPr>
          <w:rFonts w:hint="eastAsia" w:ascii="楷体_GB2312" w:hAnsi="楷体" w:eastAsia="楷体_GB2312"/>
          <w:b w:val="0"/>
          <w:sz w:val="32"/>
          <w:szCs w:val="32"/>
          <w:shd w:val="clear" w:color="auto" w:fill="FFFFFF"/>
        </w:rPr>
        <w:t>（五）办理依据</w:t>
      </w:r>
      <w:bookmarkEnd w:id="5"/>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1.《植物检疫条例》（1992年5月国务院令第98号）第三条、第七条、第十一条；</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2.《植物检疫条例实施细则（农业部分）》（农业部令2007年第6号修订）第四条、第十六条、第十八条；</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3.《山东省农业植物检疫办法》（山东省人民政府令 第１４０号）第四章。</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6" w:name="_Toc430245954"/>
      <w:r>
        <w:rPr>
          <w:rFonts w:hint="eastAsia" w:ascii="楷体_GB2312" w:hAnsi="楷体" w:eastAsia="楷体_GB2312"/>
          <w:b w:val="0"/>
          <w:sz w:val="32"/>
          <w:szCs w:val="32"/>
          <w:shd w:val="clear" w:color="auto" w:fill="FFFFFF"/>
        </w:rPr>
        <w:t>（六）办理条件</w:t>
      </w:r>
      <w:bookmarkEnd w:id="6"/>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调运植物和植物产品，属于下列情况的，必须经过检疫:</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一）列入应施检疫的植物、植物产品名单的，运出发生疫情的县级行政区域之前，必须经过检疫；（二）凡种子、苗木和其他繁殖材料，不论是否列入应施检疫的植物、植物产品名单和运往何地，在调运之前，都必须经过检疫。”</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种子、苗木和其他繁殖材料的繁育单位，必须有计划地建立无植物检疫对象的种苗繁育基地、母树林基地。试验、推广的种子、苗木和其他繁植材料，不得带有植物检疫对象。植物检疫机构应实施产地检疫。”</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7" w:name="_Toc430245955"/>
      <w:r>
        <w:rPr>
          <w:rFonts w:hint="eastAsia" w:ascii="楷体_GB2312" w:hAnsi="楷体" w:eastAsia="楷体_GB2312"/>
          <w:b w:val="0"/>
          <w:sz w:val="32"/>
          <w:szCs w:val="32"/>
          <w:shd w:val="clear" w:color="auto" w:fill="FFFFFF"/>
        </w:rPr>
        <w:t>（七）申请材料</w:t>
      </w:r>
      <w:bookmarkEnd w:id="7"/>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申请农业植物检疫许可，应当向农业局植物保护站提交下列材料：</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农业植物产地检疫申报单或农业植物调运检疫申请书</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8" w:name="_Toc430245956"/>
      <w:r>
        <w:rPr>
          <w:rFonts w:hint="eastAsia" w:ascii="楷体_GB2312" w:hAnsi="楷体" w:eastAsia="楷体_GB2312"/>
          <w:b w:val="0"/>
          <w:sz w:val="32"/>
          <w:szCs w:val="32"/>
          <w:shd w:val="clear" w:color="auto" w:fill="FFFFFF"/>
        </w:rPr>
        <w:t>（八）办理时限</w:t>
      </w:r>
      <w:bookmarkEnd w:id="8"/>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受理时限：1个工作日。</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办理时限：法定时限20个工作日，承诺时限10个工作日（不含检疫和专家评审所需时间）。</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《植物检疫条例实施细则（农业部分）》（农业部令2007年第6号修订）第七条植物检疫机构应当自受理检疫申请之日起20日内作出审批决定，检疫和专家评审所需时间除外。</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9" w:name="_Toc430245957"/>
      <w:r>
        <w:rPr>
          <w:rFonts w:hint="eastAsia" w:ascii="楷体_GB2312" w:hAnsi="楷体" w:eastAsia="楷体_GB2312"/>
          <w:b w:val="0"/>
          <w:sz w:val="32"/>
          <w:szCs w:val="32"/>
          <w:shd w:val="clear" w:color="auto" w:fill="FFFFFF"/>
        </w:rPr>
        <w:t>（九）收费标准</w:t>
      </w:r>
      <w:bookmarkEnd w:id="9"/>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《关于发布农业系统行政事业性收费项目和标准的通知》（国家物价局、财政部</w:t>
      </w:r>
      <w:r>
        <w:rPr>
          <w:rFonts w:hint="eastAsia" w:ascii="宋体" w:hAnsi="宋体" w:cs="宋体"/>
          <w:sz w:val="32"/>
          <w:szCs w:val="32"/>
        </w:rPr>
        <w:t>〔</w:t>
      </w:r>
      <w:r>
        <w:rPr>
          <w:rFonts w:hint="eastAsia" w:ascii="仿宋_GB2312" w:eastAsia="仿宋_GB2312"/>
          <w:sz w:val="32"/>
          <w:szCs w:val="32"/>
        </w:rPr>
        <w:t>1992</w:t>
      </w:r>
      <w:r>
        <w:rPr>
          <w:rFonts w:hint="eastAsia" w:ascii="宋体" w:hAnsi="宋体" w:cs="宋体"/>
          <w:sz w:val="32"/>
          <w:szCs w:val="32"/>
        </w:rPr>
        <w:t>〕</w:t>
      </w:r>
      <w:r>
        <w:rPr>
          <w:rFonts w:hint="eastAsia" w:ascii="仿宋_GB2312" w:eastAsia="仿宋_GB2312"/>
          <w:sz w:val="32"/>
          <w:szCs w:val="32"/>
        </w:rPr>
        <w:t>价费字452号）附件1、附件2。</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0" w:name="_Toc430245958"/>
      <w:r>
        <w:rPr>
          <w:rFonts w:hint="eastAsia" w:ascii="楷体_GB2312" w:hAnsi="楷体" w:eastAsia="楷体_GB2312"/>
          <w:b w:val="0"/>
          <w:sz w:val="32"/>
          <w:szCs w:val="32"/>
          <w:shd w:val="clear" w:color="auto" w:fill="FFFFFF"/>
        </w:rPr>
        <w:t>（十）咨询服务</w:t>
      </w:r>
      <w:bookmarkEnd w:id="10"/>
    </w:p>
    <w:p>
      <w:pPr>
        <w:wordWrap/>
        <w:adjustRightInd/>
        <w:snapToGrid/>
        <w:spacing w:line="600" w:lineRule="exact"/>
        <w:ind w:left="0" w:leftChars="0" w:right="0" w:firstLine="640" w:firstLineChars="200"/>
        <w:textAlignment w:val="auto"/>
        <w:rPr>
          <w:rFonts w:eastAsia="仿宋_GB2312"/>
          <w:strike/>
          <w:sz w:val="32"/>
          <w:szCs w:val="32"/>
        </w:rPr>
      </w:pPr>
      <w:r>
        <w:rPr>
          <w:rFonts w:hint="eastAsia" w:ascii="仿宋_GB2312" w:eastAsia="仿宋_GB2312"/>
          <w:sz w:val="32"/>
          <w:szCs w:val="32"/>
        </w:rPr>
        <w:t>海阳市农业局植物保护站对申请人咨询、疑问给予解释答复</w:t>
      </w:r>
      <w:r>
        <w:rPr>
          <w:rFonts w:hint="eastAsia" w:eastAsia="仿宋_GB2312"/>
          <w:sz w:val="32"/>
          <w:szCs w:val="32"/>
        </w:rPr>
        <w:t>。</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咨询地址：海阳市海政路44号一楼东侧</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电话咨询号码：0535—3229633</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电子邮箱:hyzbz2008@163.com</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11" w:name="_Toc430245959"/>
      <w:r>
        <w:rPr>
          <w:rFonts w:hint="eastAsia" w:ascii="黑体" w:hAnsi="黑体" w:eastAsia="黑体"/>
          <w:b w:val="0"/>
        </w:rPr>
        <w:t>二、办理流程</w:t>
      </w:r>
      <w:bookmarkEnd w:id="11"/>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2" w:name="_Toc430245960"/>
      <w:r>
        <w:rPr>
          <w:rFonts w:hint="eastAsia" w:ascii="楷体_GB2312" w:hAnsi="楷体" w:eastAsia="楷体_GB2312"/>
          <w:b w:val="0"/>
          <w:sz w:val="32"/>
          <w:szCs w:val="32"/>
          <w:shd w:val="clear" w:color="auto" w:fill="FFFFFF"/>
        </w:rPr>
        <w:t>（一）申请</w:t>
      </w:r>
      <w:bookmarkEnd w:id="12"/>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1.提交方式</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现场提交。海阳市农业局植物保护站，地址：海阳</w:t>
      </w:r>
      <w:r>
        <w:rPr>
          <w:rFonts w:ascii="仿宋_GB2312" w:eastAsia="仿宋_GB2312"/>
          <w:sz w:val="32"/>
          <w:szCs w:val="32"/>
        </w:rPr>
        <w:t>市</w:t>
      </w:r>
      <w:r>
        <w:rPr>
          <w:rFonts w:hint="eastAsia" w:ascii="仿宋_GB2312" w:eastAsia="仿宋_GB2312"/>
          <w:sz w:val="32"/>
          <w:szCs w:val="32"/>
        </w:rPr>
        <w:t>海政路44号一楼东侧，联系电话：0535—3229633。</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3" w:name="_Toc430245961"/>
      <w:r>
        <w:rPr>
          <w:rFonts w:hint="eastAsia" w:ascii="楷体_GB2312" w:hAnsi="楷体" w:eastAsia="楷体_GB2312"/>
          <w:b w:val="0"/>
          <w:sz w:val="32"/>
          <w:szCs w:val="32"/>
          <w:shd w:val="clear" w:color="auto" w:fill="FFFFFF"/>
        </w:rPr>
        <w:t>（二）受理</w:t>
      </w:r>
      <w:bookmarkEnd w:id="13"/>
    </w:p>
    <w:p>
      <w:pPr>
        <w:wordWrap/>
        <w:adjustRightInd/>
        <w:snapToGrid/>
        <w:spacing w:line="600" w:lineRule="exact"/>
        <w:ind w:left="0" w:leftChars="0" w:right="0" w:firstLine="640" w:firstLineChars="200"/>
        <w:jc w:val="left"/>
        <w:textAlignment w:val="auto"/>
        <w:rPr>
          <w:rFonts w:ascii="楷体_GB2312" w:eastAsia="楷体_GB2312"/>
          <w:sz w:val="32"/>
          <w:szCs w:val="32"/>
        </w:rPr>
      </w:pPr>
      <w:r>
        <w:rPr>
          <w:rFonts w:hint="eastAsia" w:ascii="仿宋_GB2312" w:eastAsia="仿宋_GB2312"/>
          <w:sz w:val="32"/>
          <w:szCs w:val="32"/>
        </w:rPr>
        <w:t>提交农业植物产地检疫申报单或农业植物调运检疫申请书录入全国植物检疫计算机管理系统即受理。</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4" w:name="_Toc430245962"/>
      <w:r>
        <w:rPr>
          <w:rFonts w:hint="eastAsia" w:ascii="楷体_GB2312" w:hAnsi="楷体" w:eastAsia="楷体_GB2312"/>
          <w:b w:val="0"/>
          <w:sz w:val="32"/>
          <w:szCs w:val="32"/>
          <w:shd w:val="clear" w:color="auto" w:fill="FFFFFF"/>
        </w:rPr>
        <w:t>（三）办理进程查询</w:t>
      </w:r>
      <w:bookmarkEnd w:id="14"/>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查询电话号码：0535—3229633</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5" w:name="_Toc430245963"/>
      <w:r>
        <w:rPr>
          <w:rFonts w:hint="eastAsia" w:ascii="楷体_GB2312" w:hAnsi="楷体" w:eastAsia="楷体_GB2312"/>
          <w:b w:val="0"/>
          <w:sz w:val="32"/>
          <w:szCs w:val="32"/>
          <w:shd w:val="clear" w:color="auto" w:fill="FFFFFF"/>
        </w:rPr>
        <w:t>（四</w:t>
      </w:r>
      <w:r>
        <w:rPr>
          <w:rFonts w:ascii="楷体_GB2312" w:hAnsi="楷体" w:eastAsia="楷体_GB2312"/>
          <w:b w:val="0"/>
          <w:sz w:val="32"/>
          <w:szCs w:val="32"/>
          <w:shd w:val="clear" w:color="auto" w:fill="FFFFFF"/>
        </w:rPr>
        <w:t>）</w:t>
      </w:r>
      <w:r>
        <w:rPr>
          <w:rFonts w:hint="eastAsia" w:ascii="楷体_GB2312" w:hAnsi="楷体" w:eastAsia="楷体_GB2312"/>
          <w:b w:val="0"/>
          <w:sz w:val="32"/>
          <w:szCs w:val="32"/>
          <w:shd w:val="clear" w:color="auto" w:fill="FFFFFF"/>
        </w:rPr>
        <w:t>获取审批决定书</w:t>
      </w:r>
      <w:bookmarkEnd w:id="15"/>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1.获取方式</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植物保护站领取。</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2.决定书类型</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《全国农业植物产地检疫合格证》或《植物检疫证书》。</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全国农业植物产地检疫合格证》本证有效期1年，本证以该植物及产品从检查发证之日起，一年内为有效，过期作废；如在有效期只寄运使用一部分，由植检机构在备注栏内如实注销；过期未使用的，应重新检查发证。</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调运植物和植物产品，其《植物检疫证书》有效期不得超过２１天。</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6" w:name="_Toc430245964"/>
      <w:r>
        <w:rPr>
          <w:rFonts w:hint="eastAsia" w:ascii="楷体_GB2312" w:hAnsi="楷体" w:eastAsia="楷体_GB2312"/>
          <w:b w:val="0"/>
          <w:sz w:val="32"/>
          <w:szCs w:val="32"/>
          <w:shd w:val="clear" w:color="auto" w:fill="FFFFFF"/>
        </w:rPr>
        <w:t>（五）流程图</w:t>
      </w:r>
      <w:bookmarkEnd w:id="16"/>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见附件1</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17" w:name="_Toc430245965"/>
      <w:r>
        <w:rPr>
          <w:rFonts w:hint="eastAsia" w:ascii="黑体" w:hAnsi="黑体" w:eastAsia="黑体"/>
          <w:b w:val="0"/>
        </w:rPr>
        <w:t>三、法律救济</w:t>
      </w:r>
      <w:bookmarkEnd w:id="17"/>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8" w:name="_Toc430245966"/>
      <w:r>
        <w:rPr>
          <w:rFonts w:hint="eastAsia" w:ascii="楷体_GB2312" w:hAnsi="楷体" w:eastAsia="楷体_GB2312"/>
          <w:b w:val="0"/>
          <w:sz w:val="32"/>
          <w:szCs w:val="32"/>
          <w:shd w:val="clear" w:color="auto" w:fill="FFFFFF"/>
        </w:rPr>
        <w:t>（一）投诉</w:t>
      </w:r>
      <w:bookmarkEnd w:id="18"/>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1.投诉受理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市农业局植物保护站负责行政相对人违纪违法投诉事项的协调处理。海阳市农业局对海阳市植物保护站人员违纪违法投诉事项的协调处理。</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2.投诉时限</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对一般投诉要及时办理，并于3日内将办理结果反馈给投诉人。重要投诉在3日内不能办理完毕的，可延长15日，在30日内将办理结果反馈给投诉人。</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3.投诉处理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①对信函投诉做到逐件拆阅、登记，及时处理；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②对网络投诉要及时登录收阅、打印登记，及时处理；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③对当面投诉应当分别单独进行，接待人员应当做好笔录；</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④对投诉电话做到细心接听，询问清楚，如实记录；</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4.投诉渠道</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农业局植物保护站：0535—3229633</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海阳市农业局：0535—3236332</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电子邮箱：hyzbz2008@163.com</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信箱：海阳市植物保护站。邮编：265100</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9" w:name="_Toc430245967"/>
      <w:r>
        <w:rPr>
          <w:rFonts w:hint="eastAsia" w:ascii="楷体_GB2312" w:hAnsi="楷体" w:eastAsia="楷体_GB2312"/>
          <w:b w:val="0"/>
          <w:sz w:val="32"/>
          <w:szCs w:val="32"/>
          <w:shd w:val="clear" w:color="auto" w:fill="FFFFFF"/>
        </w:rPr>
        <w:t>（二）行政复议</w:t>
      </w:r>
      <w:bookmarkEnd w:id="19"/>
    </w:p>
    <w:p>
      <w:pPr>
        <w:wordWrap/>
        <w:adjustRightInd/>
        <w:snapToGrid/>
        <w:spacing w:line="600" w:lineRule="exact"/>
        <w:ind w:left="0" w:leftChars="0" w:right="0" w:firstLine="640" w:firstLineChars="200"/>
        <w:textAlignment w:val="auto"/>
        <w:rPr>
          <w:rFonts w:ascii="黑体" w:eastAsia="黑体"/>
          <w:sz w:val="32"/>
          <w:szCs w:val="32"/>
        </w:rPr>
      </w:pPr>
      <w:r>
        <w:rPr>
          <w:rFonts w:hint="eastAsia" w:ascii="仿宋_GB2312" w:eastAsia="仿宋_GB2312"/>
          <w:sz w:val="32"/>
          <w:szCs w:val="32"/>
        </w:rPr>
        <w:t>海阳市政府法制办公室，地址：海阳市济南路91号11楼1119号房间，联系电话：0535-3306689</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20" w:name="_Toc430245968"/>
      <w:r>
        <w:rPr>
          <w:rFonts w:hint="eastAsia" w:ascii="黑体" w:hAnsi="黑体" w:eastAsia="黑体"/>
          <w:b w:val="0"/>
        </w:rPr>
        <w:t>四、表单填写</w:t>
      </w:r>
      <w:bookmarkEnd w:id="20"/>
    </w:p>
    <w:p>
      <w:pPr>
        <w:pStyle w:val="2"/>
        <w:wordWrap/>
        <w:adjustRightInd/>
        <w:snapToGrid/>
        <w:spacing w:before="0" w:beforeAutospacing="0" w:after="0" w:afterAutospacing="0" w:line="600" w:lineRule="exact"/>
        <w:ind w:left="0" w:leftChars="0" w:right="0" w:firstLine="640" w:firstLineChars="200"/>
        <w:textAlignment w:val="auto"/>
        <w:rPr>
          <w:rFonts w:hint="eastAsia" w:ascii="仿宋_GB2312" w:hAnsi="Times New Roman" w:eastAsia="仿宋_GB2312" w:cs="Times New Roman"/>
          <w:b w:val="0"/>
          <w:bCs w:val="0"/>
          <w:kern w:val="2"/>
          <w:sz w:val="32"/>
          <w:szCs w:val="32"/>
          <w:lang w:val="en-US" w:eastAsia="zh-CN" w:bidi="ar-SA"/>
        </w:rPr>
      </w:pPr>
      <w:bookmarkStart w:id="21" w:name="_Toc430245969"/>
      <w:r>
        <w:rPr>
          <w:rFonts w:hint="eastAsia" w:ascii="仿宋_GB2312" w:hAnsi="Times New Roman" w:eastAsia="仿宋_GB2312" w:cs="Times New Roman"/>
          <w:b w:val="0"/>
          <w:bCs w:val="0"/>
          <w:kern w:val="2"/>
          <w:sz w:val="32"/>
          <w:szCs w:val="32"/>
          <w:lang w:val="en-US" w:eastAsia="zh-CN" w:bidi="ar-SA"/>
        </w:rPr>
        <w:t>申请书示范文本</w:t>
      </w:r>
      <w:bookmarkEnd w:id="21"/>
      <w:r>
        <w:rPr>
          <w:rFonts w:hint="eastAsia" w:ascii="仿宋_GB2312" w:hAnsi="Times New Roman" w:eastAsia="仿宋_GB2312" w:cs="Times New Roman"/>
          <w:b w:val="0"/>
          <w:bCs w:val="0"/>
          <w:kern w:val="2"/>
          <w:sz w:val="32"/>
          <w:szCs w:val="32"/>
          <w:lang w:val="en-US" w:eastAsia="zh-CN" w:bidi="ar-SA"/>
        </w:rPr>
        <w:t>:申请书由办事员录取全国植物检疫计算机管理系统，自动生成，详见附件2。</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22" w:name="_Toc430245970"/>
      <w:r>
        <w:rPr>
          <w:rFonts w:hint="eastAsia" w:ascii="黑体" w:hAnsi="黑体" w:eastAsia="黑体"/>
          <w:b w:val="0"/>
        </w:rPr>
        <w:t>五、有关说明</w:t>
      </w:r>
      <w:bookmarkEnd w:id="22"/>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本服务指南根据法律法规规章相关内容的修改变动情况和工作实际要求，予以实时更新。</w:t>
      </w:r>
    </w:p>
    <w:p>
      <w:pPr>
        <w:wordWrap/>
        <w:adjustRightInd/>
        <w:snapToGrid/>
        <w:spacing w:line="600" w:lineRule="exact"/>
        <w:ind w:left="0" w:leftChars="0" w:right="0"/>
        <w:textAlignment w:val="auto"/>
        <w:rPr>
          <w:rFonts w:ascii="仿宋_GB2312" w:eastAsia="仿宋_GB2312"/>
          <w:sz w:val="32"/>
          <w:szCs w:val="32"/>
        </w:rPr>
      </w:pPr>
    </w:p>
    <w:p>
      <w:pPr>
        <w:wordWrap/>
        <w:adjustRightInd/>
        <w:snapToGrid/>
        <w:spacing w:line="600" w:lineRule="exact"/>
        <w:ind w:left="0" w:leftChars="0" w:right="0"/>
        <w:jc w:val="left"/>
        <w:textAlignment w:val="auto"/>
        <w:rPr>
          <w:rFonts w:ascii="黑体" w:hAnsi="黑体" w:eastAsia="黑体" w:cs="黑体"/>
          <w:sz w:val="32"/>
          <w:szCs w:val="32"/>
        </w:rPr>
        <w:sectPr>
          <w:pgSz w:w="11906" w:h="16838"/>
          <w:pgMar w:top="1077" w:right="1134" w:bottom="1077" w:left="1701" w:header="851" w:footer="850" w:gutter="0"/>
          <w:pgNumType w:fmt="decimal"/>
          <w:cols w:space="720" w:num="1"/>
          <w:docGrid w:type="lines" w:linePitch="312" w:charSpace="0"/>
        </w:sectPr>
      </w:pPr>
    </w:p>
    <w:p>
      <w:pPr>
        <w:jc w:val="left"/>
        <w:rPr>
          <w:rFonts w:hint="eastAsia" w:ascii="黑体" w:hAnsi="黑体" w:eastAsia="黑体" w:cs="黑体"/>
          <w:sz w:val="32"/>
          <w:szCs w:val="32"/>
        </w:rPr>
      </w:pPr>
      <w:bookmarkStart w:id="23" w:name="_Toc430245971"/>
      <w:r>
        <w:rPr>
          <w:rFonts w:hint="eastAsia" w:ascii="黑体" w:hAnsi="黑体" w:eastAsia="黑体" w:cs="黑体"/>
          <w:sz w:val="32"/>
          <w:szCs w:val="32"/>
        </w:rPr>
        <w:t>附件1</w:t>
      </w:r>
      <w:bookmarkEnd w:id="23"/>
    </w:p>
    <w:p>
      <w:pPr>
        <w:jc w:val="center"/>
        <w:rPr>
          <w:rFonts w:ascii="方正小标宋简体" w:eastAsia="方正小标宋简体"/>
          <w:sz w:val="32"/>
          <w:szCs w:val="32"/>
          <w:shd w:val="clear" w:color="auto" w:fill="FFFFFF"/>
        </w:rPr>
      </w:pPr>
      <w:r>
        <w:rPr>
          <w:rFonts w:hint="eastAsia" w:ascii="方正小标宋简体" w:eastAsia="方正小标宋简体"/>
          <w:sz w:val="32"/>
          <w:szCs w:val="32"/>
          <w:shd w:val="clear" w:color="auto" w:fill="FFFFFF"/>
        </w:rPr>
        <w:t>海阳市农业局农业植物检疫审批流程图</w:t>
      </w:r>
    </w:p>
    <w:p>
      <w:pPr>
        <w:ind w:firstLine="420" w:firstLineChars="200"/>
        <w:jc w:val="left"/>
      </w:pPr>
      <w:r>
        <w:rPr>
          <w:rFonts w:ascii="Times New Roman" w:hAnsi="Times New Roman" w:eastAsia="宋体" w:cs="Times New Roman"/>
          <w:kern w:val="2"/>
          <w:sz w:val="21"/>
          <w:szCs w:val="24"/>
          <w:lang w:val="en-US" w:eastAsia="zh-CN" w:bidi="ar-SA"/>
        </w:rPr>
        <w:pict>
          <v:group id="Group 17" o:spid="_x0000_s1027" style="position:absolute;left:0;margin-top:10.2pt;height:597.4pt;width:499.5pt;mso-position-horizontal:center;mso-position-horizontal-relative:margin;mso-wrap-distance-bottom:0pt;mso-wrap-distance-top:0pt;rotation:0f;z-index:-251658240;" coordorigin="864,1592" coordsize="9990,11948">
            <o:lock v:ext="edit" position="f" selection="f" grouping="f" rotation="f" cropping="f"/>
            <v:shape id="Picture 18" o:spid="_x0000_s1028" type="#_x0000_t75" style="position:absolute;left:864;top:1592;height:11948;width:9990;rotation:0f;" o:ole="f" fillcolor="#FFFFFF" filled="f" o:preferrelative="f" stroked="f" coordorigin="0,0" coordsize="21600,21600">
              <v:fill on="f" color2="#FFFFFF" focus="0%"/>
              <v:imagedata gain="65536f" blacklevel="0f" gamma="0"/>
              <o:lock v:ext="edit" position="f" selection="f" grouping="f" rotation="f" cropping="f" text="t" aspectratio="t"/>
            </v:shape>
            <v:rect id="Rectangle 19" o:spid="_x0000_s1029" style="position:absolute;left:5117;top:1910;height:437;width:148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申请人</w:t>
                    </w:r>
                  </w:p>
                </w:txbxContent>
              </v:textbox>
            </v:rect>
            <v:rect id="Rectangle 20" o:spid="_x0000_s1030" style="position:absolute;left:6821;top:3090;height:437;width:322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到植物保护站进行产地检疫申请</w:t>
                    </w:r>
                  </w:p>
                </w:txbxContent>
              </v:textbox>
            </v:rect>
            <v:rect id="Rectangle 21" o:spid="_x0000_s1031" style="position:absolute;left:1753;top:3090;height:437;width:324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到植物保护站进行调运检疫申请</w:t>
                    </w:r>
                  </w:p>
                </w:txbxContent>
              </v:textbox>
            </v:rect>
            <v:rect id="Rectangle 22" o:spid="_x0000_s1032" style="position:absolute;left:7322;top:4035;height:437;width:22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受理申请人申请</w:t>
                    </w:r>
                  </w:p>
                </w:txbxContent>
              </v:textbox>
            </v:rect>
            <v:rect id="Rectangle 23" o:spid="_x0000_s1033" style="position:absolute;left:2241;top:4020;height:437;width:2273;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受理申请人申请</w:t>
                    </w:r>
                  </w:p>
                </w:txbxContent>
              </v:textbox>
            </v:rect>
            <v:rect id="Rectangle 24" o:spid="_x0000_s1034" style="position:absolute;left:6379;top:4995;height:1140;width:413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ascii="宋体" w:hAnsi="宋体"/>
                        <w:sz w:val="24"/>
                      </w:rPr>
                    </w:pPr>
                    <w:r>
                      <w:rPr>
                        <w:rFonts w:hint="eastAsia" w:ascii="宋体" w:hAnsi="宋体"/>
                        <w:sz w:val="24"/>
                      </w:rPr>
                      <w:t>按照产地检疫技术规程或参照相应的检疫技术标准、技术规范进行检疫，告知申请人产地检验结束时间</w:t>
                    </w:r>
                  </w:p>
                </w:txbxContent>
              </v:textbox>
            </v:rect>
            <v:rect id="Rectangle 25" o:spid="_x0000_s1035" style="position:absolute;left:4284;top:7869;height:435;width:230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实验室检疫（检验）</w:t>
                    </w:r>
                  </w:p>
                </w:txbxContent>
              </v:textbox>
            </v:rect>
            <v:rect id="Rectangle 26" o:spid="_x0000_s1036" style="position:absolute;left:4607;top:6883;height:435;width:165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发现可疑症状</w:t>
                    </w:r>
                  </w:p>
                </w:txbxContent>
              </v:textbox>
            </v:rect>
            <v:rect id="Rectangle 27" o:spid="_x0000_s1037" style="position:absolute;left:3720;top:8977;height:436;width:164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检疫不合格</w:t>
                    </w:r>
                  </w:p>
                </w:txbxContent>
              </v:textbox>
            </v:rect>
            <v:rect id="Rectangle 28" o:spid="_x0000_s1038" style="position:absolute;left:7750;top:6883;height:438;width:230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未发现可疑症状</w:t>
                    </w:r>
                  </w:p>
                </w:txbxContent>
              </v:textbox>
            </v:rect>
            <v:rect id="Rectangle 29" o:spid="_x0000_s1039" style="position:absolute;left:6263;top:8977;height:436;width:138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检疫合格</w:t>
                    </w:r>
                  </w:p>
                </w:txbxContent>
              </v:textbox>
            </v:rect>
            <v:rect id="Rectangle 30" o:spid="_x0000_s1040" style="position:absolute;left:3889;top:9957;height:435;width:1303;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检疫处理</w:t>
                    </w:r>
                  </w:p>
                </w:txbxContent>
              </v:textbox>
            </v:rect>
            <v:rect id="Rectangle 31" o:spid="_x0000_s1041" style="position:absolute;left:3174;top:11087;height:435;width:223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检疫处理不合格</w:t>
                    </w:r>
                  </w:p>
                </w:txbxContent>
              </v:textbox>
            </v:rect>
            <v:rect id="Rectangle 32" o:spid="_x0000_s1042" style="position:absolute;left:5889;top:11072;height:435;width:176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检疫处理合格</w:t>
                    </w:r>
                  </w:p>
                </w:txbxContent>
              </v:textbox>
            </v:rect>
            <v:rect id="Rectangle 33" o:spid="_x0000_s1043" style="position:absolute;left:3048;top:12069;height:451;width:249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left"/>
                      <w:rPr>
                        <w:rFonts w:ascii="宋体" w:hAnsi="宋体"/>
                        <w:sz w:val="24"/>
                      </w:rPr>
                    </w:pPr>
                    <w:r>
                      <w:rPr>
                        <w:rFonts w:hint="eastAsia" w:ascii="宋体" w:hAnsi="宋体"/>
                        <w:sz w:val="24"/>
                      </w:rPr>
                      <w:t>不予办理检疫合格证书</w:t>
                    </w:r>
                  </w:p>
                </w:txbxContent>
              </v:textbox>
            </v:rect>
            <v:rect id="Rectangle 34" o:spid="_x0000_s1044" style="position:absolute;left:7403;top:12067;height:786;width:300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签发《产地检疫合格证》或《植物检疫证书》</w:t>
                    </w:r>
                  </w:p>
                </w:txbxContent>
              </v:textbox>
            </v:rect>
            <v:shape id="Elbow Connector 35" o:spid="_x0000_s1045" type="#_x0000_t34" style="position:absolute;left:6775;top:1431;flip:x;height:2575;width:743;rotation:5898240f;" o:ole="f" o:connectortype="elbow" fillcolor="#FFFFFF" filled="f" o:preferrelative="t" stroked="t" coordorigin="0,0" coordsize="21600,21600" adj="10785">
              <v:fill on="f" color2="#FFFFFF" focus="0%"/>
              <v:stroke color="#000000" color2="#FFFFFF" miterlimit="2" endarrow="block"/>
              <v:imagedata gain="65536f" blacklevel="0f" gamma="0"/>
              <o:lock v:ext="edit" position="f" selection="f" grouping="f" rotation="f" cropping="f" text="f" aspectratio="f"/>
            </v:shape>
            <v:shape id="Elbow Connector 36" o:spid="_x0000_s1046" type="#_x0000_t34" style="position:absolute;left:4247;top:1478;height:2481;width:743;rotation:5898240f;" o:ole="f" o:connectortype="elbow" fillcolor="#FFFFFF" filled="f" o:preferrelative="t" stroked="t" coordorigin="0,0" coordsize="21600,21600" adj="10785">
              <v:fill on="f" color2="#FFFFFF" focus="0%"/>
              <v:stroke color="#000000" color2="#FFFFFF" miterlimit="2" endarrow="block"/>
              <v:imagedata gain="65536f" blacklevel="0f" gamma="0"/>
              <o:lock v:ext="edit" position="f" selection="f" grouping="f" rotation="f" cropping="f" text="f" aspectratio="f"/>
            </v:shape>
            <v:shape id="Straight Connector 37" o:spid="_x0000_s1047" type="#_x0000_t32" style="position:absolute;left:8434;top:3527;height:508;width: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38" o:spid="_x0000_s1048" type="#_x0000_t32" style="position:absolute;left:3378;top:3527;height:493;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39" o:spid="_x0000_s1049" type="#_x0000_t33" style="position:absolute;left:2016;top:5819;flip:x;height:906;width:3630;rotation:589824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0" o:spid="_x0000_s1050" type="#_x0000_t32" style="position:absolute;left:8437;top:4472;height:523;width: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41" o:spid="_x0000_s1051" type="#_x0000_t34" style="position:absolute;left:6564;top:5002;height:3009;width:748;rotation:5898240f;"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v:shape id="Elbow Connector 42" o:spid="_x0000_s1052" type="#_x0000_t34" style="position:absolute;left:8300;top:6279;flip:x;height:460;width:748;rotation:5898240f;"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v:shape id="Straight Connector 43" o:spid="_x0000_s1053" type="#_x0000_t32" style="position:absolute;left:5435;top:7318;height:551;width: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44" o:spid="_x0000_s1054" type="#_x0000_t34" style="position:absolute;left:4655;top:8193;height:895;width:673;rotation:5898240f;" o:ole="f" o:connectortype="elbow" fillcolor="#FFFFFF" filled="f" o:preferrelative="t" stroked="t" coordorigin="0,0" coordsize="21600,21600" adj="10784">
              <v:fill on="f" color2="#FFFFFF" focus="0%"/>
              <v:stroke color="#000000" color2="#FFFFFF" miterlimit="2" endarrow="block"/>
              <v:imagedata gain="65536f" blacklevel="0f" gamma="0"/>
              <o:lock v:ext="edit" position="f" selection="f" grouping="f" rotation="f" cropping="f" text="f" aspectratio="f"/>
            </v:shape>
            <v:shape id="Elbow Connector 45" o:spid="_x0000_s1055" type="#_x0000_t34" style="position:absolute;left:5859;top:7880;flip:x;height:1518;width:673;rotation:5898240f;" o:ole="f" o:connectortype="elbow" fillcolor="#FFFFFF" filled="f" o:preferrelative="t" stroked="t" coordorigin="0,0" coordsize="21600,21600" adj="10784">
              <v:fill on="f" color2="#FFFFFF" focus="0%"/>
              <v:stroke color="#000000" color2="#FFFFFF" miterlimit="2" endarrow="block"/>
              <v:imagedata gain="65536f" blacklevel="0f" gamma="0"/>
              <o:lock v:ext="edit" position="f" selection="f" grouping="f" rotation="f" cropping="f" text="f" aspectratio="f"/>
            </v:shape>
            <v:shape id="Straight Connector 46" o:spid="_x0000_s1056" type="#_x0000_t32" style="position:absolute;left:4541;top:9413;flip:x;height:544;width: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47" o:spid="_x0000_s1057" type="#_x0000_t34" style="position:absolute;left:4067;top:10614;height:248;width:695;rotation:5898240f;" o:ole="f" o:connectortype="elbow" fillcolor="#FFFFFF" filled="f" o:preferrelative="t" stroked="t" coordorigin="0,0" coordsize="21600,21600" adj="10784">
              <v:fill on="f" color2="#FFFFFF" focus="0%"/>
              <v:stroke color="#000000" color2="#FFFFFF" miterlimit="2" endarrow="block"/>
              <v:imagedata gain="65536f" blacklevel="0f" gamma="0"/>
              <o:lock v:ext="edit" position="f" selection="f" grouping="f" rotation="f" cropping="f" text="f" aspectratio="f"/>
            </v:shape>
            <v:shape id="Elbow Connector 48" o:spid="_x0000_s1058" type="#_x0000_t34" style="position:absolute;left:5317;top:9616;flip:x;height:2232;width:680;rotation:5898240f;" o:ole="f" o:connectortype="elbow" fillcolor="#FFFFFF" filled="f" o:preferrelative="t" stroked="t" coordorigin="0,0" coordsize="21600,21600" adj="10768">
              <v:fill on="f" color2="#FFFFFF" focus="0%"/>
              <v:stroke color="#000000" color2="#FFFFFF" miterlimit="2" endarrow="block"/>
              <v:imagedata gain="65536f" blacklevel="0f" gamma="0"/>
              <o:lock v:ext="edit" position="f" selection="f" grouping="f" rotation="f" cropping="f" text="f" aspectratio="f"/>
            </v:shape>
            <v:shape id="Elbow Connector 49" o:spid="_x0000_s1059" type="#_x0000_t34" style="position:absolute;left:3174;top:10175;flip:x;height:1130;width:715;rotation:11796480f;" o:ole="f" o:connectortype="elbow" fillcolor="#FFFFFF" filled="f" o:preferrelative="t" stroked="t" coordorigin="0,0" coordsize="21600,21600" adj="-10876">
              <v:fill on="f" color2="#FFFFFF" focus="0%"/>
              <v:stroke color="#000000" color2="#FFFFFF" miterlimit="2" endarrow="block"/>
              <v:imagedata gain="65536f" blacklevel="0f" gamma="0"/>
              <o:lock v:ext="edit" position="f" selection="f" grouping="f" rotation="f" cropping="f" text="f" aspectratio="f"/>
            </v:shape>
            <v:shape id="Straight Connector 50" o:spid="_x0000_s1060" type="#_x0000_t32" style="position:absolute;left:4293;top:11522;height:547;width: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51" o:spid="_x0000_s1061" type="#_x0000_t33" style="position:absolute;left:7651;top:9195;height:2872;width:1253;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52" o:spid="_x0000_s1062" type="#_x0000_t33" style="position:absolute;left:7657;top:11290;height:777;width:1247;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 o:spid="_x0000_s1063" type="#_x0000_t32" style="position:absolute;left:8904;top:7321;height:474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10:wrap type="topAndBottom"/>
          </v:group>
        </w:pict>
      </w:r>
    </w:p>
    <w:p>
      <w:pPr>
        <w:sectPr>
          <w:footerReference r:id="rId7" w:type="even"/>
          <w:pgSz w:w="11906" w:h="16838"/>
          <w:pgMar w:top="1701" w:right="1134" w:bottom="1134" w:left="1701" w:header="851" w:footer="680" w:gutter="0"/>
          <w:pgNumType w:fmt="decimal"/>
          <w:cols w:space="720" w:num="1"/>
          <w:docGrid w:type="lines" w:linePitch="312" w:charSpace="0"/>
        </w:sectPr>
      </w:pPr>
    </w:p>
    <w:p>
      <w:pPr>
        <w:jc w:val="left"/>
        <w:rPr>
          <w:rFonts w:hint="eastAsia" w:ascii="黑体" w:hAnsi="黑体" w:eastAsia="黑体" w:cs="黑体"/>
          <w:sz w:val="32"/>
          <w:szCs w:val="32"/>
        </w:rPr>
      </w:pPr>
      <w:bookmarkStart w:id="24" w:name="_Toc430245972"/>
      <w:r>
        <w:rPr>
          <w:rFonts w:hint="eastAsia" w:ascii="黑体" w:hAnsi="黑体" w:eastAsia="黑体" w:cs="黑体"/>
          <w:sz w:val="32"/>
          <w:szCs w:val="32"/>
        </w:rPr>
        <w:t>附件2</w:t>
      </w:r>
      <w:bookmarkEnd w:id="24"/>
    </w:p>
    <w:p>
      <w:pPr>
        <w:rPr>
          <w:shd w:val="clear" w:color="auto" w:fill="FFFFFF"/>
        </w:rPr>
      </w:pPr>
    </w:p>
    <w:p>
      <w:pPr>
        <w:rPr>
          <w:shd w:val="clear" w:color="auto" w:fill="FFFFFF"/>
        </w:rPr>
      </w:pPr>
      <w:r>
        <w:rPr>
          <w:rFonts w:ascii="Times New Roman" w:hAnsi="Times New Roman" w:eastAsia="宋体" w:cs="Times New Roman"/>
          <w:kern w:val="2"/>
          <w:sz w:val="21"/>
          <w:szCs w:val="24"/>
          <w:shd w:val="clear" w:color="auto" w:fill="FFFFFF"/>
          <w:lang w:val="en-US" w:eastAsia="zh-CN" w:bidi="ar-SA"/>
        </w:rPr>
        <w:pict>
          <v:shape id="图片 1" o:spid="_x0000_s1064" type="#_x0000_t75" style="height:636.9pt;width:453.5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sectPr>
      <w:pgSz w:w="11906" w:h="16838"/>
      <w:pgMar w:top="1701" w:right="1134" w:bottom="1134" w:left="1701"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shape id="文本框 3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32A7"/>
    <w:rsid w:val="000411FF"/>
    <w:rsid w:val="00095701"/>
    <w:rsid w:val="000A0377"/>
    <w:rsid w:val="00172A27"/>
    <w:rsid w:val="00192CC7"/>
    <w:rsid w:val="002103D6"/>
    <w:rsid w:val="0023239E"/>
    <w:rsid w:val="00241DEF"/>
    <w:rsid w:val="002C7462"/>
    <w:rsid w:val="002D54C1"/>
    <w:rsid w:val="00321330"/>
    <w:rsid w:val="00387518"/>
    <w:rsid w:val="003A67D8"/>
    <w:rsid w:val="003B5DAA"/>
    <w:rsid w:val="003C0DBA"/>
    <w:rsid w:val="00414056"/>
    <w:rsid w:val="00452EF6"/>
    <w:rsid w:val="00454062"/>
    <w:rsid w:val="00523703"/>
    <w:rsid w:val="0056383D"/>
    <w:rsid w:val="0057439C"/>
    <w:rsid w:val="0057578D"/>
    <w:rsid w:val="00592036"/>
    <w:rsid w:val="005E196F"/>
    <w:rsid w:val="006004C9"/>
    <w:rsid w:val="00655F96"/>
    <w:rsid w:val="00685E1A"/>
    <w:rsid w:val="006A58FE"/>
    <w:rsid w:val="006D14BD"/>
    <w:rsid w:val="00700A67"/>
    <w:rsid w:val="00742B58"/>
    <w:rsid w:val="007570A2"/>
    <w:rsid w:val="007D6F3E"/>
    <w:rsid w:val="007E7DBA"/>
    <w:rsid w:val="00800380"/>
    <w:rsid w:val="008240F2"/>
    <w:rsid w:val="008938B6"/>
    <w:rsid w:val="008C34AA"/>
    <w:rsid w:val="009011DE"/>
    <w:rsid w:val="009328BA"/>
    <w:rsid w:val="00941778"/>
    <w:rsid w:val="00946F37"/>
    <w:rsid w:val="00964803"/>
    <w:rsid w:val="009A22D0"/>
    <w:rsid w:val="009E4302"/>
    <w:rsid w:val="009F5472"/>
    <w:rsid w:val="009F61B1"/>
    <w:rsid w:val="009F78AA"/>
    <w:rsid w:val="00A67901"/>
    <w:rsid w:val="00A9111B"/>
    <w:rsid w:val="00AC0779"/>
    <w:rsid w:val="00AC3B22"/>
    <w:rsid w:val="00B1704B"/>
    <w:rsid w:val="00B30098"/>
    <w:rsid w:val="00B51BAF"/>
    <w:rsid w:val="00B716EE"/>
    <w:rsid w:val="00B7699C"/>
    <w:rsid w:val="00B90CDF"/>
    <w:rsid w:val="00BD6EF2"/>
    <w:rsid w:val="00CD025B"/>
    <w:rsid w:val="00CD125A"/>
    <w:rsid w:val="00D849EF"/>
    <w:rsid w:val="00E54F3B"/>
    <w:rsid w:val="00E83A73"/>
    <w:rsid w:val="00E86C6C"/>
    <w:rsid w:val="00EA3BF5"/>
    <w:rsid w:val="00EC255A"/>
    <w:rsid w:val="00ED0A25"/>
    <w:rsid w:val="00ED79D6"/>
    <w:rsid w:val="00F23FB5"/>
    <w:rsid w:val="00F27599"/>
    <w:rsid w:val="00F36D95"/>
    <w:rsid w:val="00F6066A"/>
    <w:rsid w:val="00F62F85"/>
    <w:rsid w:val="00FD4D54"/>
    <w:rsid w:val="0964077B"/>
    <w:rsid w:val="0C751D92"/>
    <w:rsid w:val="0E673CAF"/>
    <w:rsid w:val="14057B29"/>
    <w:rsid w:val="1BC11A92"/>
    <w:rsid w:val="1C7775EC"/>
    <w:rsid w:val="23E76D75"/>
    <w:rsid w:val="2A4D5475"/>
    <w:rsid w:val="30B46D38"/>
    <w:rsid w:val="30D67C6E"/>
    <w:rsid w:val="38C42A84"/>
    <w:rsid w:val="3F63374B"/>
    <w:rsid w:val="45F91E71"/>
    <w:rsid w:val="5DBB20D6"/>
    <w:rsid w:val="79B77FBE"/>
    <w:rsid w:val="7C985AF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35"/>
        <o:r id="V:Rule2" type="connector" idref="#Elbow Connector 36"/>
        <o:r id="V:Rule3" type="connector" idref="#Straight Connector 37"/>
        <o:r id="V:Rule4" type="connector" idref="#Straight Connector 38"/>
        <o:r id="V:Rule5" type="connector" idref="#Elbow Connector 39"/>
        <o:r id="V:Rule6" type="connector" idref="#Straight Connector 40"/>
        <o:r id="V:Rule7" type="connector" idref="#Elbow Connector 41"/>
        <o:r id="V:Rule8" type="connector" idref="#Elbow Connector 42"/>
        <o:r id="V:Rule9" type="connector" idref="#Straight Connector 43"/>
        <o:r id="V:Rule10" type="connector" idref="#Elbow Connector 44"/>
        <o:r id="V:Rule11" type="connector" idref="#Elbow Connector 45"/>
        <o:r id="V:Rule12" type="connector" idref="#Straight Connector 46"/>
        <o:r id="V:Rule13" type="connector" idref="#Elbow Connector 47"/>
        <o:r id="V:Rule14" type="connector" idref="#Elbow Connector 48"/>
        <o:r id="V:Rule15" type="connector" idref="#Elbow Connector 49"/>
        <o:r id="V:Rule16" type="connector" idref="#Straight Connector 50"/>
        <o:r id="V:Rule17" type="connector" idref="#Elbow Connector 51"/>
        <o:r id="V:Rule18" type="connector" idref="#Elbow Connector 52"/>
        <o:r id="V:Rule19" type="connector" idref="#Straight Connector 5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3">
    <w:name w:val="toc 3"/>
    <w:basedOn w:val="1"/>
    <w:next w:val="1"/>
    <w:uiPriority w:val="39"/>
    <w:pPr>
      <w:ind w:left="840" w:leftChars="400"/>
    </w:pPr>
  </w:style>
  <w:style w:type="paragraph" w:styleId="4">
    <w:name w:val="Balloon Text"/>
    <w:basedOn w:val="1"/>
    <w:link w:val="28"/>
    <w:uiPriority w:val="0"/>
    <w:rPr>
      <w:sz w:val="18"/>
      <w:szCs w:val="18"/>
    </w:rPr>
  </w:style>
  <w:style w:type="paragraph" w:styleId="5">
    <w:name w:val="footer"/>
    <w:basedOn w:val="1"/>
    <w:link w:val="23"/>
    <w:uiPriority w:val="99"/>
    <w:pPr>
      <w:tabs>
        <w:tab w:val="center" w:pos="4153"/>
        <w:tab w:val="right" w:pos="8306"/>
      </w:tabs>
      <w:snapToGrid w:val="0"/>
      <w:jc w:val="left"/>
    </w:pPr>
    <w:rPr>
      <w:sz w:val="18"/>
      <w:szCs w:val="18"/>
    </w:rPr>
  </w:style>
  <w:style w:type="paragraph" w:styleId="6">
    <w:name w:val="header"/>
    <w:basedOn w:val="1"/>
    <w:link w:val="24"/>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pPr>
      <w:tabs>
        <w:tab w:val="right" w:leader="dot" w:pos="9061"/>
      </w:tabs>
      <w:spacing w:line="600" w:lineRule="exact"/>
    </w:pPr>
  </w:style>
  <w:style w:type="paragraph" w:styleId="8">
    <w:name w:val="Subtitle"/>
    <w:basedOn w:val="1"/>
    <w:next w:val="1"/>
    <w:link w:val="29"/>
    <w:qFormat/>
    <w:uiPriority w:val="0"/>
    <w:pPr>
      <w:spacing w:before="240" w:after="60" w:line="312" w:lineRule="auto"/>
      <w:jc w:val="center"/>
      <w:outlineLvl w:val="1"/>
    </w:pPr>
    <w:rPr>
      <w:rFonts w:ascii="Cambria" w:hAnsi="Cambria" w:cs="黑体"/>
      <w:b/>
      <w:bCs/>
      <w:kern w:val="28"/>
      <w:sz w:val="32"/>
      <w:szCs w:val="32"/>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link w:val="27"/>
    <w:qFormat/>
    <w:uiPriority w:val="0"/>
    <w:pPr>
      <w:spacing w:before="240" w:after="60"/>
      <w:jc w:val="center"/>
      <w:outlineLvl w:val="0"/>
    </w:pPr>
    <w:rPr>
      <w:rFonts w:ascii="Cambria" w:hAnsi="Cambria" w:cs="黑体"/>
      <w:b/>
      <w:bCs/>
      <w:sz w:val="32"/>
      <w:szCs w:val="32"/>
    </w:rPr>
  </w:style>
  <w:style w:type="character" w:styleId="12">
    <w:name w:val="Strong"/>
    <w:basedOn w:val="11"/>
    <w:qFormat/>
    <w:uiPriority w:val="0"/>
    <w:rPr>
      <w:b/>
      <w:bCs/>
    </w:rPr>
  </w:style>
  <w:style w:type="character" w:styleId="13">
    <w:name w:val="page number"/>
    <w:basedOn w:val="11"/>
    <w:uiPriority w:val="0"/>
    <w:rPr/>
  </w:style>
  <w:style w:type="character" w:styleId="14">
    <w:name w:val="Hyperlink"/>
    <w:basedOn w:val="11"/>
    <w:uiPriority w:val="99"/>
    <w:rPr>
      <w:color w:val="0000FF"/>
      <w:u w:val="single"/>
    </w:rPr>
  </w:style>
  <w:style w:type="paragraph" w:customStyle="1" w:styleId="16">
    <w:name w:val="段"/>
    <w:basedOn w:val="1"/>
    <w:uiPriority w:val="0"/>
    <w:pPr>
      <w:widowControl/>
      <w:autoSpaceDE w:val="0"/>
      <w:autoSpaceDN w:val="0"/>
      <w:ind w:firstLine="200" w:firstLineChars="200"/>
    </w:pPr>
    <w:rPr>
      <w:rFonts w:hint="eastAsia" w:ascii="宋体"/>
      <w:kern w:val="0"/>
      <w:szCs w:val="20"/>
    </w:rPr>
  </w:style>
  <w:style w:type="paragraph" w:customStyle="1" w:styleId="17">
    <w:name w:val="封面标准名称"/>
    <w:basedOn w:val="1"/>
    <w:uiPriority w:val="0"/>
    <w:pPr>
      <w:spacing w:line="680" w:lineRule="exact"/>
      <w:jc w:val="center"/>
    </w:pPr>
    <w:rPr>
      <w:rFonts w:hint="eastAsia" w:ascii="黑体" w:eastAsia="黑体"/>
      <w:kern w:val="0"/>
      <w:sz w:val="52"/>
      <w:szCs w:val="20"/>
    </w:rPr>
  </w:style>
  <w:style w:type="paragraph" w:customStyle="1" w:styleId="18">
    <w:name w:val="二级条标题"/>
    <w:basedOn w:val="19"/>
    <w:next w:val="16"/>
    <w:uiPriority w:val="0"/>
    <w:pPr>
      <w:ind w:left="180"/>
      <w:outlineLvl w:val="3"/>
    </w:pPr>
  </w:style>
  <w:style w:type="paragraph" w:customStyle="1" w:styleId="19">
    <w:name w:val="一级条标题"/>
    <w:basedOn w:val="1"/>
    <w:next w:val="16"/>
    <w:uiPriority w:val="0"/>
    <w:pPr>
      <w:widowControl/>
      <w:tabs>
        <w:tab w:val="left" w:pos="0"/>
      </w:tabs>
      <w:ind w:left="1080"/>
      <w:jc w:val="left"/>
      <w:outlineLvl w:val="2"/>
    </w:pPr>
    <w:rPr>
      <w:rFonts w:hint="eastAsia" w:eastAsia="黑体"/>
      <w:kern w:val="0"/>
      <w:szCs w:val="20"/>
    </w:rPr>
  </w:style>
  <w:style w:type="paragraph" w:customStyle="1" w:styleId="20">
    <w:name w:val="p0"/>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1">
    <w:name w:val="List Paragraph"/>
    <w:basedOn w:val="1"/>
    <w:qFormat/>
    <w:uiPriority w:val="99"/>
    <w:pPr>
      <w:ind w:firstLine="420" w:firstLineChars="200"/>
    </w:pPr>
  </w:style>
  <w:style w:type="paragraph" w:customStyle="1" w:styleId="22">
    <w:name w:val="TOC Heading"/>
    <w:basedOn w:val="2"/>
    <w:next w:val="1"/>
    <w:unhideWhenUsed/>
    <w:qFormat/>
    <w:uiPriority w:val="39"/>
    <w:pPr>
      <w:keepNext/>
      <w:keepLines/>
      <w:spacing w:before="480" w:beforeAutospacing="0" w:after="0" w:afterAutospacing="0" w:line="276" w:lineRule="auto"/>
      <w:outlineLvl w:val="9"/>
    </w:pPr>
    <w:rPr>
      <w:rFonts w:ascii="Cambria" w:hAnsi="Cambria" w:eastAsia="宋体" w:cs="黑体"/>
      <w:color w:val="365F90"/>
      <w:kern w:val="0"/>
      <w:sz w:val="28"/>
      <w:szCs w:val="28"/>
    </w:rPr>
  </w:style>
  <w:style w:type="character" w:customStyle="1" w:styleId="23">
    <w:name w:val="页脚 Char"/>
    <w:basedOn w:val="11"/>
    <w:link w:val="5"/>
    <w:uiPriority w:val="99"/>
    <w:rPr>
      <w:rFonts w:eastAsia="宋体"/>
      <w:kern w:val="2"/>
      <w:sz w:val="18"/>
      <w:szCs w:val="18"/>
      <w:lang w:val="en-US" w:eastAsia="zh-CN" w:bidi="ar-SA"/>
    </w:rPr>
  </w:style>
  <w:style w:type="character" w:customStyle="1" w:styleId="24">
    <w:name w:val="页眉 Char"/>
    <w:basedOn w:val="11"/>
    <w:link w:val="6"/>
    <w:uiPriority w:val="0"/>
    <w:rPr>
      <w:kern w:val="2"/>
      <w:sz w:val="18"/>
      <w:szCs w:val="18"/>
    </w:rPr>
  </w:style>
  <w:style w:type="character" w:customStyle="1" w:styleId="25">
    <w:name w:val="apple-style-span"/>
    <w:basedOn w:val="11"/>
    <w:uiPriority w:val="0"/>
    <w:rPr/>
  </w:style>
  <w:style w:type="character" w:customStyle="1" w:styleId="26">
    <w:name w:val="style11"/>
    <w:uiPriority w:val="0"/>
    <w:rPr>
      <w:b/>
      <w:bCs/>
      <w:sz w:val="27"/>
      <w:szCs w:val="27"/>
    </w:rPr>
  </w:style>
  <w:style w:type="character" w:customStyle="1" w:styleId="27">
    <w:name w:val="标题 Char"/>
    <w:basedOn w:val="11"/>
    <w:link w:val="10"/>
    <w:uiPriority w:val="0"/>
    <w:rPr>
      <w:rFonts w:ascii="Cambria" w:hAnsi="Cambria" w:cs="黑体"/>
      <w:b/>
      <w:bCs/>
      <w:kern w:val="2"/>
      <w:sz w:val="32"/>
      <w:szCs w:val="32"/>
    </w:rPr>
  </w:style>
  <w:style w:type="character" w:customStyle="1" w:styleId="28">
    <w:name w:val="批注框文本 Char"/>
    <w:basedOn w:val="11"/>
    <w:link w:val="4"/>
    <w:uiPriority w:val="0"/>
    <w:rPr>
      <w:kern w:val="2"/>
      <w:sz w:val="18"/>
      <w:szCs w:val="18"/>
    </w:rPr>
  </w:style>
  <w:style w:type="character" w:customStyle="1" w:styleId="29">
    <w:name w:val="副标题 Char"/>
    <w:basedOn w:val="11"/>
    <w:link w:val="8"/>
    <w:uiPriority w:val="0"/>
    <w:rPr>
      <w:rFonts w:ascii="Cambria" w:hAnsi="Cambria" w:cs="黑体"/>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558</Words>
  <Characters>3182</Characters>
  <Lines>26</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2015-09-16T02:52:00Z</dcterms:created>
  <dc:creator>申霞</dc:creator>
  <cp:lastModifiedBy>senlin</cp:lastModifiedBy>
  <cp:lastPrinted>2015-02-04T07:23:00Z</cp:lastPrinted>
  <dcterms:modified xsi:type="dcterms:W3CDTF">2015-09-20T09:11:51Z</dcterms:modified>
  <dc:title>3703000102501—002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