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附件2</w:t>
      </w:r>
    </w:p>
    <w:p>
      <w:pPr>
        <w:jc w:val="center"/>
        <w:rPr>
          <w:rFonts w:cs="Times New Roman"/>
          <w:sz w:val="44"/>
        </w:rPr>
      </w:pPr>
    </w:p>
    <w:p>
      <w:pPr>
        <w:jc w:val="center"/>
        <w:rPr>
          <w:rFonts w:cs="Times New Roman"/>
          <w:sz w:val="44"/>
        </w:rPr>
      </w:pPr>
    </w:p>
    <w:p>
      <w:pPr>
        <w:jc w:val="center"/>
        <w:rPr>
          <w:rFonts w:cs="Times New Roman"/>
          <w:sz w:val="44"/>
        </w:rPr>
      </w:pPr>
    </w:p>
    <w:p>
      <w:pPr>
        <w:jc w:val="center"/>
        <w:rPr>
          <w:rFonts w:cs="Times New Roman"/>
          <w:sz w:val="52"/>
          <w:szCs w:val="52"/>
        </w:rPr>
      </w:pPr>
    </w:p>
    <w:p>
      <w:pPr>
        <w:jc w:val="center"/>
        <w:rPr>
          <w:rFonts w:hint="eastAsia" w:ascii="Times New Roman" w:hAnsi="Times New Roman" w:cs="Times New Roman" w:eastAsiaTheme="minorEastAsia"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海阳市养殖水域滩涂规划</w:t>
      </w:r>
      <w:r>
        <w:rPr>
          <w:rFonts w:ascii="Times New Roman" w:hAnsi="Times New Roman" w:cs="Times New Roman"/>
          <w:sz w:val="44"/>
          <w:szCs w:val="44"/>
        </w:rPr>
        <w:t>（</w:t>
      </w:r>
      <w:r>
        <w:rPr>
          <w:rFonts w:ascii="Times New Roman" w:hAnsi="Times New Roman" w:cs="Times New Roman"/>
          <w:b/>
          <w:sz w:val="44"/>
          <w:szCs w:val="44"/>
        </w:rPr>
        <w:t>2018-2030年</w:t>
      </w:r>
      <w:r>
        <w:rPr>
          <w:rFonts w:ascii="Times New Roman" w:hAnsi="Times New Roman" w:cs="Times New Roman"/>
          <w:sz w:val="44"/>
          <w:szCs w:val="44"/>
        </w:rPr>
        <w:t>）</w:t>
      </w:r>
      <w:r>
        <w:rPr>
          <w:rFonts w:hint="eastAsia" w:ascii="Times New Roman" w:hAnsi="Times New Roman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修订版</w:t>
      </w:r>
      <w:r>
        <w:rPr>
          <w:rFonts w:hint="eastAsia" w:ascii="Times New Roman" w:hAnsi="Times New Roman" w:cs="Times New Roman"/>
          <w:sz w:val="44"/>
          <w:szCs w:val="44"/>
          <w:lang w:eastAsia="zh-CN"/>
        </w:rPr>
        <w:t>）</w:t>
      </w:r>
    </w:p>
    <w:p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登记表</w:t>
      </w:r>
    </w:p>
    <w:p>
      <w:pPr>
        <w:adjustRightInd w:val="0"/>
        <w:snapToGrid w:val="0"/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2"/>
          <w:szCs w:val="32"/>
        </w:rPr>
      </w:pPr>
    </w:p>
    <w:p>
      <w:pPr>
        <w:jc w:val="center"/>
        <w:rPr>
          <w:rFonts w:cs="Times New Roman"/>
          <w:b/>
          <w:sz w:val="36"/>
          <w:szCs w:val="36"/>
        </w:rPr>
      </w:pPr>
    </w:p>
    <w:p>
      <w:pPr>
        <w:jc w:val="center"/>
        <w:rPr>
          <w:rFonts w:cs="Times New Roman"/>
          <w:b/>
          <w:sz w:val="36"/>
          <w:szCs w:val="36"/>
        </w:rPr>
      </w:pPr>
    </w:p>
    <w:p>
      <w:pPr>
        <w:jc w:val="center"/>
        <w:rPr>
          <w:rFonts w:cs="Times New Roman"/>
          <w:b/>
          <w:sz w:val="36"/>
          <w:szCs w:val="36"/>
        </w:rPr>
      </w:pPr>
    </w:p>
    <w:p>
      <w:pPr>
        <w:jc w:val="center"/>
        <w:rPr>
          <w:rFonts w:cs="Times New Roman"/>
          <w:b/>
          <w:sz w:val="36"/>
          <w:szCs w:val="36"/>
        </w:rPr>
      </w:pPr>
    </w:p>
    <w:p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二零</w:t>
      </w:r>
      <w:r>
        <w:rPr>
          <w:rFonts w:hint="eastAsia" w:cs="Times New Roman"/>
          <w:b/>
          <w:sz w:val="36"/>
          <w:szCs w:val="36"/>
          <w:lang w:val="en-US" w:eastAsia="zh-CN"/>
        </w:rPr>
        <w:t>二一</w:t>
      </w:r>
      <w:r>
        <w:rPr>
          <w:rFonts w:cs="Times New Roman"/>
          <w:b/>
          <w:sz w:val="36"/>
          <w:szCs w:val="36"/>
        </w:rPr>
        <w:t>年</w:t>
      </w:r>
    </w:p>
    <w:p>
      <w:pPr>
        <w:widowControl/>
        <w:jc w:val="center"/>
        <w:rPr>
          <w:rFonts w:cs="Times New Roman"/>
        </w:rPr>
      </w:pPr>
    </w:p>
    <w:p>
      <w:pPr>
        <w:widowControl/>
        <w:jc w:val="center"/>
        <w:rPr>
          <w:rFonts w:cs="Times New Roman"/>
        </w:rPr>
      </w:pP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adjustRightInd w:val="0"/>
        <w:snapToGrid w:val="0"/>
        <w:jc w:val="center"/>
        <w:rPr>
          <w:rFonts w:cs="Times New Roman" w:eastAsiaTheme="minorEastAsia"/>
          <w:b/>
          <w:sz w:val="44"/>
          <w:szCs w:val="44"/>
        </w:rPr>
      </w:pPr>
      <w:r>
        <w:rPr>
          <w:rFonts w:cs="Times New Roman" w:eastAsiaTheme="minorEastAsia"/>
          <w:b/>
          <w:sz w:val="44"/>
          <w:szCs w:val="44"/>
        </w:rPr>
        <w:t>目 录</w:t>
      </w:r>
    </w:p>
    <w:p>
      <w:pPr>
        <w:adjustRightInd w:val="0"/>
        <w:snapToGrid w:val="0"/>
        <w:jc w:val="center"/>
        <w:rPr>
          <w:rFonts w:cs="Times New Roman"/>
          <w:sz w:val="56"/>
        </w:rPr>
      </w:pP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b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 w:eastAsiaTheme="minorEastAsia"/>
          <w:b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"_Toc531161486"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附表1 海水养殖水域滩涂功能区划登记表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_Toc531161486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1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fldChar w:fldCharType="begin"/>
      </w:r>
      <w:r>
        <w:instrText xml:space="preserve"> HYPERLINK \l "_Toc531161487"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附表2 淡水养殖水域滩涂功能区划登记表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_Toc531161487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3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fldChar w:fldCharType="begin"/>
      </w:r>
      <w:r>
        <w:instrText xml:space="preserve"> HYPERLINK \l "_Toc531161488"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附表3 海水禁养区功能区划登记表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_Toc531161488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4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fldChar w:fldCharType="begin"/>
      </w:r>
      <w:r>
        <w:instrText xml:space="preserve"> HYPERLINK \l "_Toc531161489"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附表3 海水限养区功能区划登记表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_Toc531161489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11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fldChar w:fldCharType="begin"/>
      </w:r>
      <w:r>
        <w:instrText xml:space="preserve"> HYPERLINK \l "_Toc531161490"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附表4 海水养殖区功能区划登记表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_Toc531161490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14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fldChar w:fldCharType="begin"/>
      </w:r>
      <w:r>
        <w:instrText xml:space="preserve"> HYPERLINK \l "_Toc531161491"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附表5 淡水禁养区功能区划登记表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_Toc531161491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17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12"/>
        <w:rPr>
          <w:rFonts w:ascii="Times New Roman" w:hAnsi="Times New Roman" w:cs="Times New Roman" w:eastAsiaTheme="minorEastAsia"/>
          <w:smallCaps w:val="0"/>
          <w:sz w:val="24"/>
          <w:szCs w:val="24"/>
        </w:rPr>
      </w:pPr>
      <w:r>
        <w:fldChar w:fldCharType="begin"/>
      </w:r>
      <w:r>
        <w:instrText xml:space="preserve"> HYPERLINK \l "_Toc531161492" </w:instrText>
      </w:r>
      <w:r>
        <w:fldChar w:fldCharType="separate"/>
      </w:r>
      <w:r>
        <w:rPr>
          <w:rStyle w:val="16"/>
          <w:rFonts w:ascii="Times New Roman" w:hAnsi="Times New Roman" w:cs="Times New Roman" w:eastAsiaTheme="minorEastAsia"/>
          <w:sz w:val="24"/>
          <w:szCs w:val="24"/>
        </w:rPr>
        <w:t>附表6 淡水限养区功能区划登记表</w:t>
      </w:r>
      <w:r>
        <w:rPr>
          <w:rFonts w:ascii="Times New Roman" w:hAnsi="Times New Roman" w:cs="Times New Roman" w:eastAsiaTheme="minorEastAsia"/>
          <w:sz w:val="24"/>
          <w:szCs w:val="24"/>
        </w:rPr>
        <w:tab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sz w:val="24"/>
          <w:szCs w:val="24"/>
        </w:rPr>
        <w:instrText xml:space="preserve"> PAGEREF _Toc531161492 \h </w:instrTex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sz w:val="24"/>
          <w:szCs w:val="24"/>
        </w:rPr>
        <w:t>18</w:t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spacing w:line="360" w:lineRule="auto"/>
        <w:jc w:val="center"/>
        <w:rPr>
          <w:rFonts w:cs="Times New Roman" w:eastAsiaTheme="minorEastAsia"/>
          <w:b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cs="Times New Roman" w:eastAsiaTheme="minorEastAsia"/>
          <w:b/>
          <w:szCs w:val="24"/>
        </w:rPr>
        <w:fldChar w:fldCharType="end"/>
      </w:r>
    </w:p>
    <w:p>
      <w:pPr>
        <w:pStyle w:val="2"/>
        <w:spacing w:after="0" w:line="415" w:lineRule="auto"/>
        <w:rPr>
          <w:rFonts w:ascii="Times New Roman" w:hAnsi="Times New Roman" w:cs="Times New Roman" w:eastAsiaTheme="minorEastAsia"/>
        </w:rPr>
      </w:pPr>
      <w:bookmarkStart w:id="0" w:name="_Toc531161486"/>
      <w:r>
        <w:rPr>
          <w:rFonts w:ascii="Times New Roman" w:hAnsi="Times New Roman" w:cs="Times New Roman" w:eastAsiaTheme="minorEastAsia"/>
        </w:rPr>
        <w:t>附表1 海水养殖水域滩涂功能区划登记表</w:t>
      </w:r>
      <w:bookmarkEnd w:id="0"/>
    </w:p>
    <w:tbl>
      <w:tblPr>
        <w:tblStyle w:val="17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11"/>
        <w:gridCol w:w="742"/>
        <w:gridCol w:w="1228"/>
        <w:gridCol w:w="659"/>
        <w:gridCol w:w="1256"/>
        <w:gridCol w:w="887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一级代码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二级代码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三级代码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功能区名称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禁养区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保护区禁止养殖区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1-1-1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自然保护区禁止养殖区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J1-1-1-1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千里岩海洋自然保护区核心禁养区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1-1-2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海洋特别保护区禁止养殖区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J1-1-2-1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万米海滩海洋保护区重点保护禁养区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J1-1-2-2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万米海滩海洋保护区预留区禁养区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1-3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港口与工业用海区禁止养殖区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1-3-1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工业与城镇用海禁止养殖区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J1-3-1-1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海阳近岸工业电力用海禁养区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1-3-2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港口航运区禁止养殖区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海阳港港口航运禁养区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海阳港航道用海东区禁养区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J1-3-2-3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海阳港航道用海西区禁养区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J1-3-2-4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海阳港1号锚地用海禁养区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J1-3-2-5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海阳港2号锚地用海禁养区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J1-3-2-6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海阳港3号锚地用海禁养区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J1-3-2-7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海阳港预留用海东区禁养区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J1-3-2-8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海阳港预留用海北区禁养区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J1-3-2-9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海阳港预留用海南区禁养区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海阳港预留用海西区禁养区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景观遗迹与旅游休闲区禁止养殖区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1-4-2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旅游休闲娱乐区禁止养殖区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J1-4-2-1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东村河口文体休闲娱乐区禁养区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1-5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水质超标区禁止养殖区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J1-5-0-1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海阳港东倾倒用海禁养区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限养区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保护区限制养殖区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2-1-1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自然保护区限制养殖区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X2-1-1-1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千里岩海洋自然保护区用海限养区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海洋特别保护区限制养殖区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X2-1-2-1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万米海滩海洋保护区适度利用限养区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X2-1-2-2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海阳新生村南限养区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景观遗迹与旅游休闲区限制养殖区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2-3-2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旅游休闲娱乐区限制养殖区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X2-3-2-1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乳山口文体休闲用海（海阳）限养区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X2-3-2-2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河港-东村河文体休闲用海限养区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X2-3-2-3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丁字咀文体休闲用海限养区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X2-3-2-4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马河港北部文体休闲用海限养区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2-4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矿产与能源区限制养殖区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X2-4-0-1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海阳矿产与能源区限养区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港口与工业用海区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限制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养殖区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工业与城镇用海限制养殖区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X2-5-2-1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海阳临港工业与城镇用海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限养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X2-5-1-2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海阳留格河工业用海限养区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港口航运区限制养殖区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X2-5-2-1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海阳大埠圈航道限养区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X2-5-2-2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海阳港航道用海西区限养区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养殖区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海水养殖区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3-1-1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海上养殖区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Y3-1-1-1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文登-乳山-海阳农渔业养殖区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Y3-1-1-2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海阳-即墨农渔业养殖区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Y3-1-1-3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威海-青岛东近海农渔业养殖区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Y3-1-1-4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千里岩南保留区养殖区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Y3-1-1-5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琵琶口人工鱼礁用海养殖区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Y3-1-1-6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土埠岛人工鱼礁用海养殖区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Y3-1-1-7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千里岩人工鱼礁用海养殖区</w:t>
            </w:r>
          </w:p>
        </w:tc>
      </w:tr>
    </w:tbl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widowControl/>
        <w:jc w:val="left"/>
        <w:rPr>
          <w:rFonts w:cs="Times New Roman" w:eastAsiaTheme="minorEastAsia"/>
          <w:b/>
          <w:bCs/>
          <w:sz w:val="32"/>
          <w:szCs w:val="32"/>
        </w:rPr>
      </w:pPr>
      <w:r>
        <w:rPr>
          <w:rFonts w:cs="Times New Roman" w:eastAsiaTheme="minorEastAsia"/>
        </w:rPr>
        <w:br w:type="page"/>
      </w:r>
    </w:p>
    <w:p>
      <w:pPr>
        <w:pStyle w:val="2"/>
        <w:rPr>
          <w:rFonts w:ascii="Times New Roman" w:hAnsi="Times New Roman" w:cs="Times New Roman" w:eastAsiaTheme="minorEastAsia"/>
        </w:rPr>
      </w:pPr>
      <w:bookmarkStart w:id="1" w:name="_Toc531161487"/>
      <w:r>
        <w:rPr>
          <w:rFonts w:ascii="Times New Roman" w:hAnsi="Times New Roman" w:cs="Times New Roman" w:eastAsiaTheme="minorEastAsia"/>
        </w:rPr>
        <w:t>附表2 淡水养殖水域滩涂功能区划登记表</w:t>
      </w:r>
      <w:bookmarkEnd w:id="1"/>
    </w:p>
    <w:tbl>
      <w:tblPr>
        <w:tblStyle w:val="17"/>
        <w:tblW w:w="8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93"/>
        <w:gridCol w:w="717"/>
        <w:gridCol w:w="1403"/>
        <w:gridCol w:w="866"/>
        <w:gridCol w:w="1099"/>
        <w:gridCol w:w="982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一级代码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二级代码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三级代码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编号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b/>
                <w:color w:val="000000"/>
                <w:kern w:val="0"/>
                <w:szCs w:val="24"/>
              </w:rPr>
              <w:t>功能区名称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禁养区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1-1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保护区禁止养殖区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1-1-1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饮用水水源地一级保护区禁养区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J1-1-1-1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里店水库禁养区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限养区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2-3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Cs w:val="24"/>
              </w:rPr>
              <w:t>重点生态功能区限养区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2-3-2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Cs w:val="24"/>
              </w:rPr>
              <w:t>水库限养区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X2-3-2-1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建新水库限养区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14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10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X2-3-2-2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盘石水库限养区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</w:p>
        </w:tc>
        <w:tc>
          <w:tcPr>
            <w:tcW w:w="4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14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10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X2-3-2-3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cs="Times New Roman" w:eastAsiaTheme="minorEastAsia"/>
                <w:color w:val="000000"/>
                <w:kern w:val="0"/>
                <w:szCs w:val="24"/>
              </w:rPr>
              <w:t>南台水库限养区</w:t>
            </w:r>
          </w:p>
        </w:tc>
      </w:tr>
    </w:tbl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rPr>
          <w:rFonts w:ascii="Times New Roman" w:hAnsi="Times New Roman" w:cs="Times New Roman" w:eastAsiaTheme="minorEastAsia"/>
        </w:rPr>
      </w:pPr>
      <w:bookmarkStart w:id="2" w:name="_Toc531161488"/>
      <w:r>
        <w:rPr>
          <w:rFonts w:ascii="Times New Roman" w:hAnsi="Times New Roman" w:cs="Times New Roman" w:eastAsiaTheme="minorEastAsia"/>
        </w:rPr>
        <w:t>附表3 海水禁养区功能区划登记表</w:t>
      </w:r>
      <w:bookmarkEnd w:id="2"/>
    </w:p>
    <w:tbl>
      <w:tblPr>
        <w:tblStyle w:val="17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73"/>
        <w:gridCol w:w="1276"/>
        <w:gridCol w:w="1060"/>
        <w:gridCol w:w="1507"/>
        <w:gridCol w:w="1058"/>
        <w:gridCol w:w="911"/>
        <w:gridCol w:w="1559"/>
        <w:gridCol w:w="709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J1-1-1-1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千里岩海洋自然保护区核心禁养区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259.01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121°22′40″-121°23′41″E，36°15′28″-36°16′23″N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千里岩及周围海域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保护区用海，建有简易码头。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本区域基本功能为海洋保护功能，用于保护海岛生境和生物多样性。按照《中华人民共和国自然保护区条例》和《海洋自然保护区管理办法》进行管理。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保障海阳千里岩岛省级海洋自然保护区用海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，禁止水产养殖生产。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严格限制改变海域自然属性。严格论证基础设施建设。维持、恢复、改善海洋生态环境和生物多样性，保护自然景观。海水水质、海洋沉积物质量和海洋生物质量均不劣于一类标准。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J1-1-2-1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万米海滩海洋保护区重点保护禁养区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269.35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121°11′33″-121°13′25″E，36°40′44″-36°41′42″N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凤城南部海域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沙滩浴场及旅游基础设施用海。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海洋保护功能。按照《海洋特别保护区管理办法》进行管理。保护区核心区禁止养殖生产。生态保护区禁止改变海域自然属性。维持、恢复、改善海洋生态环境和生物多样性，保护自然景观，减少保护区周边海域环境点面源污染。海水水质不劣于二类标准，海洋沉积物质量和海洋生物质量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J1-1-2-2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万米海滩海洋保护区预留区禁养区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51.03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121°04′55″-121°09′24″E，36°36′50″-36°40′07″N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凤城南部海域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沙滩浴场及旅游基础设施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海洋保护功能。按照《海洋特别保护区管理办法》进行管理。预留区内可适当开展滨海旅游项目，禁止养殖生产，预留区建立前的养殖生产要逐步退出。维持、恢复、改善海洋生态环境和生物多样性，保护自然景观，减少保护区周边海域环境点面源污染。海水水质不劣于二类标准，海洋沉积物质量和海洋生物质量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J1-3-1-1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海阳近岸工业电力用海禁养区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1007.33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121°20′09″-121°24′01″E，36°41′23″-36°43′20″N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海阳核电厂周边海域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海阳核电站、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码头、取排水口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本区域基本功能为工业与城镇用海。控制围填海规模，并接受围填海计划指标控制。允许适度改变海域自然属性，采用多突堤式围填海方式。加强海洋环境质量监测。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河口实行陆源污染物入海总量控制，进行减排防治。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废水、污水必须达标排海，加强工业区环境治理及动态监测；海域开发前基本保持所在海域环境质量现状水平。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海阳港港口航运禁养区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7928.25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121°12′37″-121°18′40″E，36°37′11″-36°43′38″N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海阳港、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游艇码头 、渔港等。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本区域基本功能为港口航运功能。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在基本功能未利用时允许兼容水产养殖等农渔业等功能。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保障港口航运用海，航道及两侧缓冲区内禁止养殖。允许适度改变海域自然属性，港口内工程用海鼓励采用多突堤式透水构筑物方式。注意保护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港口水深地形条件。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加强海域污染防治和监测。港口区海域海水水质不劣于四类标准，海洋沉积物质量和海洋生物质量均不劣于三类标准。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海阳港航道用海东区禁养区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5966.42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四至：121°13′28″-121°29′53″E，36°16′13″-36°37′11″N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海阳港南部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建有海阳港航道。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航道功能。在基本功能未利用时允许兼容水产养殖等农渔业等功能。保持航道完整，禁止其它活动影响船只锚泊。保障港口航运用海，航道及两侧缓冲区内禁止养殖。允许适度改变海域自然属性。加强海域污染防治和监测。锚地海域海水水质不劣于三类标准，海洋沉积物质量和海洋生物质量均不劣于二类标准。避免对毗邻海洋敏感区、亚敏感区产生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海阳港航道用海西区禁养区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0.83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121°12′47″-121°13′24″E，36°36′44″-36°37′12″N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海阳港南部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建有海阳港航道。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航道功能。在基本功能未利用时允许兼容水产养殖等农渔业等功能。保持航道完整，禁止其它活动影响船只锚泊。保障港口航运用海，航道及两侧缓冲区内禁止养殖。允许适度改变海域自然属性。加强海域污染防治和监测。锚地海域海水水质不劣于三类标准，海洋沉积物质量和海洋生物质量均不劣于二类标准。避免对毗邻海洋敏感区、亚敏感区产生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海阳港1号锚地用海禁养区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612.01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四至：121°11′13″-121°12′53″E，36°37′27″-36°38′47″N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海阳港西侧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建有锚地，部分未开发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锚地功能。在基本功能未利用时允许兼容水产养殖等农渔业等功能。保持锚地及附近航道的完整，禁止其它活动影响船只锚泊。保障港口航运用海，航道及两侧缓冲区内禁止养殖。允许适度改变海域自然属性。注意保护港口水深地形条件。加强海域污染防治和监测。锚地海域海水水质不劣于三类标准，海洋沉积物质量和海洋生物质量均不劣于二类标准。避免对毗邻海洋敏感区、亚敏感区产生影响。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海阳港2号锚地用海禁养区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2756.20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四至：121°16′10″-121°18′14″E，36°30′10″-36°35′00″N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海阳港南部海域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锚地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，部分未开发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锚地功能。在基本功能未利用时允许兼容水产养殖等农渔业等功能。保持锚地及附近航道的完整，禁止其它活动影响船只锚泊。保障港口航运用海，航道及两侧缓冲区内禁止养殖。允许适度改变海域自然属性。注意保护港口水深地形条件。加强海域污染防治和监测。锚地海域海水水质不劣于三类标准，海洋沉积物质量和海洋生物质量均不劣于二类标准。避免对毗邻海洋敏感区、亚敏感区产生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海阳港3号锚地用海禁养区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3272.07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四至：121°13′55″-121°19′17″E，36°22′00″-36°26′25″N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海阳港航道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南部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未开发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锚地功能。在基本功能未利用时允许兼容水产养殖等农渔业等功能。保持锚地及附近航道的完整，禁止其它活动影响船只锚泊。保障港口航运用海，航道及两侧缓冲区内禁止养殖。允许适度改变海域自然属性。注意保护港口水深地形条件。加强海域污染防治和监测。锚地海域海水水质不劣于三类标准，海洋沉积物质量和海洋生物质量均不劣于二类标准。避免对毗邻海洋敏感区、亚敏感区产生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海阳港预留用海东区禁养区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5135.52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四至：121°15′27″-121°18′42″E，36°28′14″-36°37′11″N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航道东部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无开发利用。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本区域功能待定，为保留区。在基本功能未利用时允许兼容水产养殖等农渔业等功能。</w:t>
            </w:r>
            <w:r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允许用于选划、扩建进出港航道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保障港口航运用海，航道及两侧缓冲区内禁止养殖。调整时需经科学论证，调整保留区的功能，并按程序报批。允许适度改变海域自然属性。注意保护港口水深地形条件。加强海域污染防治和监测。锚地海域海水水质不劣于三类标准，海洋沉积物质量和海洋生物质量均不劣于二类标准。避免对毗邻海洋敏感区、亚敏感区产生影响。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海阳港预留用海北区禁养区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1148.05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四至：121°13′23″-121°14′44″E，36°33′12″-36°37′11″N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航道中部北区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无开发利用。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本区域功能待定，为保留区。在基本功能未利用时允许兼容水产养殖等农渔业等功能。</w:t>
            </w:r>
            <w:r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允许用于选划、扩建进出港航道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保障港口航运用海，航道及两侧缓冲区内禁止养殖。调整时需经科学论证，调整保留区的功能，并按程序报批。允许适度改变海域自然属性。注意保护港口水深地形条件。加强海域污染防治和监测。锚地海域海水水质不劣于三类标准，海洋沉积物质量和海洋生物质量均不劣于二类标准。避免对毗邻海洋敏感区、亚敏感区产生影响。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海阳港预留用海南区禁养区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326.47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四至：121°13′29″-121°14′41″E，36°30′52″-36°33′44″N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航道中部南区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无开发利用。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本区域功能待定，为保留区。在基本功能未利用时允许兼容水产养殖等农渔业等功能。</w:t>
            </w:r>
            <w:r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允许用于选划、扩建进出港航道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保障港口航运用海，航道及两侧缓冲区内禁止养殖。调整时需经科学论证，调整保留区的功能，并按程序报批。允许适度改变海域自然属性。注意保护港口水深地形条件。加强海域污染防治和监测。锚地海域海水水质不劣于三类标准，海洋沉积物质量和海洋生物质量均不劣于二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J1-3-2-10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海阳港预留用海西区禁养区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24.13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四至：121°12′32″-121°12′48″E，36°37′03″-36°37′27″N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航道西区、1号锚地南部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无开发利用。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本区域功能待定，为保留区。在基本功能未利用时允许兼容水产养殖等农渔业等功能。</w:t>
            </w:r>
            <w:r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允许用于选划、扩建进出港航道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保障港口航运用海，航道及两侧缓冲区内禁止养殖。调整时需经科学论证，调整保留区的功能，并按程序报批。允许适度改变海域自然属性。注意保护港口水深地形条件。加强海域污染防治和监测。锚地海域海水水质不劣于三类标准，海洋沉积物质量和海洋生物质量均不劣于二类标准。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（公顷）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J1-4-2-1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东村河口文体休闲娱乐区禁养区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843.14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四至：121°07′10″-121°11′36″E，36°39′58″-36°42′27″N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东村河入海口、羊角泮湾海域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海阳南部近岸海域环境类型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建有旅游基础设施。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旅游休闲娱乐功能，兼容水产养殖等农渔业等功能。允许建设旅游休闲娱乐基础设施。严格控制围填海规模。保障河口行洪安全。允许适度改变海域自然属性；治理和保护海域环境，加强水质监测，控制污染损害事故的发生；合理控制旅游开发强度，严格论证基础设施建设。加强海洋环境质量监测，河口实行陆源污染物入海总量控制，进行减排防治。妥善处理生活垃圾。海水水质不劣于二类标准，海洋沉积物质量和海洋生物质量均不劣于一类标准；风景旅游区海水水质不劣于二类标准，海洋沉积物质量和海洋生物质量均不劣于二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J1-5-0-1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海阳港东倾倒用海禁养区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997.86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四至：121°29′47″-121°31′27″E，36°25′57″-36°28′07″N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千里岩东北海域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海阳南部近海海域环境类型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倾倒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用海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，区内未开发利用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特殊利用功能，禁止水产养殖生产。对环境的影响应符合《海水水质标准》（GB3097-1997）的相应要求，对倾废活动要加强监视、监测，控制倾倒强度，当不宜继续倾倒时应经过论证依法予以关闭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严格限制改变海域自然属性；严格控制倾倒范围。</w:t>
            </w:r>
            <w:r>
              <w:rPr>
                <w:rFonts w:hint="eastAsia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禁止倾倒超过规定标准的有毒、有害物质，避免对海洋生态环境产生不利影响。海水水质不劣于四类水质标准，海洋沉积物质量和海洋生物质量不劣于三类标准。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  <w:r>
        <w:rPr>
          <w:rFonts w:cs="Times New Roman" w:eastAsiaTheme="minorEastAsia"/>
        </w:rPr>
        <w:br w:type="page"/>
      </w:r>
    </w:p>
    <w:p>
      <w:pPr>
        <w:pStyle w:val="2"/>
        <w:rPr>
          <w:rFonts w:ascii="Times New Roman" w:hAnsi="Times New Roman" w:cs="Times New Roman" w:eastAsiaTheme="minorEastAsia"/>
        </w:rPr>
      </w:pPr>
      <w:bookmarkStart w:id="3" w:name="_Toc531161489"/>
      <w:r>
        <w:rPr>
          <w:rFonts w:ascii="Times New Roman" w:hAnsi="Times New Roman" w:cs="Times New Roman" w:eastAsiaTheme="minorEastAsia"/>
        </w:rPr>
        <w:t>附表3 海水限养区功能区划登记表</w:t>
      </w:r>
      <w:bookmarkEnd w:id="3"/>
    </w:p>
    <w:tbl>
      <w:tblPr>
        <w:tblStyle w:val="17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19"/>
        <w:gridCol w:w="1305"/>
        <w:gridCol w:w="1074"/>
        <w:gridCol w:w="1507"/>
        <w:gridCol w:w="789"/>
        <w:gridCol w:w="1134"/>
        <w:gridCol w:w="1134"/>
        <w:gridCol w:w="709"/>
        <w:gridCol w:w="5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7" w:name="_GoBack"/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环境简述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X2-1-1-1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千里岩海洋自然保护区用海限养区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1556.58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四至：121°21′48″-121°24′39″E，36°14′48″-36°17′06″N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千里岩及周围海域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保护区用海。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本区域基本功能为海洋保护功能，兼容旅游休闲娱乐和水产养殖等农渔业功能。允许人工鱼礁建设。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按照《中华人民共和国自然保护区条例》和《海洋自然保护区管理办法》进行限养，严格限制改变海域自然属性。严格论证基础设施建设。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X2-1-2-1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万米海滩海洋保护区适度利用限养区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40.84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121°09′02″-121°11′54″E，36°39′38″-36°41′13″N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万米海滩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保护区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适度利用区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沙滩浴场及旅游基础设施用海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海洋保护功能，兼容旅游休闲娱乐和水产养殖等农渔业功能。按照《海洋特别保护区管理办法》进行管理。保护区适度利用区内禁止一切设施养殖，确定适宜养殖密度和养殖方式，可开展增殖放流和底播养殖。维持、恢复、改善海洋生态环境和生物多样性，保护自然景观，减少保护区周边海域环境点面源污染。海水水质不劣于二类标准，海洋沉积物质量和海洋生物质量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环境简述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X2-1-2-2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海阳新生村南限养区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4.90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121°05′53″-121°06′13″E，36°37′40″-36°38′02″N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万米海滩保护区预留区内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旅游基础设施用海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，有部分池塘养殖。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海洋保护功能，兼容旅游休闲娱乐和水产养殖等农渔业功能。维持、恢复、改善海洋生态环境和生物多样性，保护自然景观，减少保护区周边海域环境点面源污染。海水水质不劣于二类标准，海洋沉积物质量和海洋生物质量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X2-3-2-1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乳山口文体休闲娱乐用海限养区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997.41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四至：121°26′06″-121°28′35″E，36°42′32″-36°46′54″N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海阳竹岛附近海域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旅游基础设施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部分浅海底播养殖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本区域基本功能为风景旅游功能，兼容水产养殖等农渔业功能。允许渔业和旅游基础设施建设。经严格论证可适度开发城镇建设，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合理控制旅游开发强度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严格论证基础设施建设，禁止工业建设。严格控制围填海规模。加强海洋环境质量监测。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本海域文体休闲娱乐区海水水质不劣于二类标准，海洋沉积物质量和海洋生物质量均不劣于一类标准；风景旅游区海水水质不劣于二类标准，海洋沉积物质量和海洋生物质量均不劣于二类标准。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环境简述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X2-3-2-2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河港-东村河文体休闲娱乐用海限养区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6576.85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四至：121°01′23″-121°13′17″E，36°33′15″-36°41′08″N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万米海滩西南部海域、马河港桥南部海域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海阳南部近岸海域环境类型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有沙滩浴场、围海养殖和底播养殖。规划建设丁字湾旅游文化产业聚集区。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本区域基本功能为风景旅游功能，兼容水产养殖等农渔业功能。允许渔业和旅游基础设施建设。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严格论证可适度开发城镇建设。严格控制岸线附近的景区建设工程，禁止工业建设。严格控制占用岸线、沙滩。允许适度改变海域自然属性；治理和保护海域环境，严格控制破坏性开发活动；合理控制旅游开发强度，严格论证基础设施建设。加强海洋环境质量监测。妥善处理生活垃圾，避免对湾内河口湿地海洋保护区等生态敏感区产生不良影响。本海域海水水质不劣于二类标准，海洋沉积物质量和海洋生物质量均不劣于二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X2-3-2-3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丁字咀文体休闲娱乐用海限养区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8670.71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四至：120°50′51″-121°03′33″E，36°32′13″-36°40′21″N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丁字湾鲁岛、丁字咀附近海域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海阳南部近岸海域环境类型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主要是围海养殖和盐业用海，建有渔船停泊点 。规划建设丁字湾旅游文化产业聚集区。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风景旅游功能，兼容水产养殖等农渔业功能。允许渔业和旅游基础设施建设。经严格论证可适度开发城镇建设。严格控制行政界线线附近的景区建设工程，禁止工业建设；严格控制占用岸线、沙滩。严格控制围填海规模。保障河口行洪安全。军事区内禁止养殖和地方船只抛锚，如进行旅游设施建设，需征求军方意见。允许适度改变海域自然属性；严格控制破坏性开发活动；合理控制旅游开发强度，严格论证基础设施建设。加强海洋环境质量监测，河口实行陆源污染物入海总量控制，进行减排防治。保证中部潮流通道的畅通，确保湾内纳潮量不减少。本海域文体休闲娱乐区海水水质不劣于二类标准，海洋沉积物质量和海洋生物质量均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环境简述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X2-3-2-4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马河港北部文体休闲娱乐用海限养区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2288.31 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四至：120°59′23″-121°05′58″E，36°35′26″-36°40′02″N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马河港桥北部海域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海阳南部近岸海域环境类型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盐业用海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工厂化养殖设施。规划建设丁字湾旅游文化产业聚集区。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本区域基本功能为风景旅游功能，兼容水产养殖等农渔业功能。允许渔业和旅游基础设施建设。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经严格论证可适度开发城镇建设。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工业建设。严格控制围填海规模。保障河口行洪安全。加强海洋环境质量监测。妥善处理生活垃圾，避免对湾内河口湿地海洋保护区等生态敏感区产生不良影响。本海域海水水质不劣于二类标准，海洋沉积物质量和海洋生物质量均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X2-4-0-1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海阳矿产与能源区限养区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2946.72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四至：121°24′30″-121°26′20″E，36°27′43″-36°33′33″N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海阳港航道东部海域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未利用，少量海砂开采活动。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本区域基本功能为矿产与能源功能，在基本功能未利用时，可兼容水产养殖等农渔业功能。保障砂矿勘探和开采的用海需求。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允许适度改变海域自然属性。保障砂矿勘探和开采的用海需求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合理控制海砂开采总量和强度。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X2-5-1-1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海阳临港工业与城镇用海限养区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349.40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121°18′39″-121°28′12″E，36°39′51″-36°46′33″N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海阳核电厂周边海域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海阳核电取排水口海域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本区域基本功能为工业与城镇用海，在基本功能未利用时，兼容水产养殖等农渔业等功能，可适当保留原有的池塘等水产养殖。加强海洋环境质量监测。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河口实行陆源污染物入海总量控制，进行减排防治。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废水、污水必须达标排海，加强工业区环境治理及动态监测；海域开发前基本保持所在海域环境质量现状水平。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经纬界址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环境简述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养殖现状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X2-5-1-2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海阳留格河工业用海限养区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00.33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121°20′22″-121°21′58″E，36°43′07″-36°44′30″N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留格河河口海域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海阳南部海域环境类型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湾内水域。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本区域基本功能为工业与城镇用海，在基本功能未利用时，兼容水产养殖等农渔业等功能，可适当保留原有的池塘等水产养殖。加强海洋环境质量监测。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河口实行陆源污染物入海总量控制，进行减排防治。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废水、污水必须达标排海，加强工业区环境治理及动态监测；海域开发前基本保持所在海域环境质量现状水平。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X2-5-2-1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海阳大埠圈航道限养区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127.17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四至：121°24′14″-121°28′04″E，36°41′25″-36°43′31″N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冷家庄南部海域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航道，部分未利用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航道功能。在基本功能未利用时，允许兼容水产养殖等农渔业等功能。保障港口航运用海，航道及两侧缓冲区内禁止养殖。允许适度改变海域自然属性。加强海域污染防治和监测。避免对毗邻海洋敏感区、亚敏感区产生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X2-5-2-2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海阳港航道西区限养区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18.50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四至：</w:t>
            </w: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121°12′45″-121°13′29″E，36°33′44″-36°37′03″N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海阳港航道西部海域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海阳近岸海域环境类型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航道，部分未利用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区域基本功能为航道功能。在基本功能未利用时，允许兼容水产养殖等农渔业等功能。保障港口航运用海，航道及两侧缓冲区内禁止养殖。允许适度改变海域自然属性。加强海域污染防治和监测。避免对毗邻海洋敏感区、亚敏感区产生影响。</w:t>
            </w:r>
          </w:p>
        </w:tc>
      </w:tr>
      <w:bookmarkEnd w:id="7"/>
    </w:tbl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  <w:r>
        <w:rPr>
          <w:rFonts w:cs="Times New Roman" w:eastAsiaTheme="minorEastAsia"/>
        </w:rPr>
        <w:br w:type="page"/>
      </w:r>
    </w:p>
    <w:p>
      <w:pPr>
        <w:pStyle w:val="2"/>
        <w:rPr>
          <w:rFonts w:ascii="Times New Roman" w:hAnsi="Times New Roman" w:cs="Times New Roman" w:eastAsiaTheme="minorEastAsia"/>
        </w:rPr>
      </w:pPr>
      <w:bookmarkStart w:id="4" w:name="_Toc531161490"/>
      <w:r>
        <w:rPr>
          <w:rFonts w:ascii="Times New Roman" w:hAnsi="Times New Roman" w:cs="Times New Roman" w:eastAsiaTheme="minorEastAsia"/>
        </w:rPr>
        <w:t>附表4 海水养殖区功能区划登记表</w:t>
      </w:r>
      <w:bookmarkEnd w:id="4"/>
    </w:p>
    <w:tbl>
      <w:tblPr>
        <w:tblStyle w:val="17"/>
        <w:tblW w:w="13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36"/>
        <w:gridCol w:w="1346"/>
        <w:gridCol w:w="1116"/>
        <w:gridCol w:w="1507"/>
        <w:gridCol w:w="1255"/>
        <w:gridCol w:w="709"/>
        <w:gridCol w:w="1275"/>
        <w:gridCol w:w="709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经纬界址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环境简述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养殖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文登-乳山-海阳农渔业养殖区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14956.72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四至：121°18′39″-121°30′18″E，36°30′57″-36°41′42″N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冷家庄南部海域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海阳近岸海域环境类型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开放式养殖，主要为浅海底播养殖。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本区域基本功能为养殖功能，兼容增殖、文体休闲娱乐等功能。允许人工鱼礁的建设。加强渔业资源养护，控制捕捞强度。</w:t>
            </w:r>
            <w:r>
              <w:rPr>
                <w:rFonts w:cs="Times New Roman" w:eastAsiaTheme="minorEastAsia"/>
                <w:sz w:val="21"/>
                <w:szCs w:val="21"/>
              </w:rPr>
              <w:t>将海域养殖容量控制在78468</w:t>
            </w:r>
            <w:r>
              <w:rPr>
                <w:rFonts w:hint="eastAsia" w:cs="Times New Roman" w:eastAsiaTheme="minorEastAsia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sz w:val="21"/>
                <w:szCs w:val="21"/>
              </w:rPr>
              <w:t>以下。</w:t>
            </w:r>
            <w:r>
              <w:rPr>
                <w:rFonts w:hint="eastAsia"/>
                <w:sz w:val="21"/>
                <w:szCs w:val="21"/>
              </w:rPr>
              <w:t>在船舶习惯航路和依法设置的锚地、航道及两侧缓冲区水域禁止养殖。严格限制改变海域自然属性，鼓励开放式用海，允许小规模透水构筑物用海。保护自然岸线，鼓励对人工岸线进行生态化建设。加强海域污染防治和环境质量监测。海域海水水质不劣于二类标准，海洋沉积物质量和海洋生物质量均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海阳-即墨农渔业养殖区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16218.08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四至：121°02′15″-121°14′40″E，36°28′42″-36°39′58″N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海阳旅游度假区至即墨田横岛以南海域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海阳南部近岸海域环境类型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开放式养殖用海，</w:t>
            </w:r>
            <w:r>
              <w:rPr>
                <w:rFonts w:hint="eastAsia"/>
                <w:sz w:val="21"/>
                <w:szCs w:val="21"/>
              </w:rPr>
              <w:t>主要为浅海底播养殖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pStyle w:val="6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本区域基本功能为农渔业功能，兼容增殖、文体休闲娱乐等功能。允许人工鱼礁的建设。加强渔业资源养护，控制捕捞强度。</w:t>
            </w:r>
            <w:r>
              <w:rPr>
                <w:rFonts w:cs="Times New Roman" w:eastAsiaTheme="minorEastAsia"/>
                <w:sz w:val="21"/>
                <w:szCs w:val="21"/>
              </w:rPr>
              <w:t>将海域养殖容量控制在85084</w:t>
            </w:r>
            <w:r>
              <w:rPr>
                <w:rFonts w:hint="eastAsia" w:cs="Times New Roman" w:eastAsiaTheme="minorEastAsia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sz w:val="21"/>
                <w:szCs w:val="21"/>
              </w:rPr>
              <w:t>以下。</w:t>
            </w:r>
            <w:r>
              <w:rPr>
                <w:rFonts w:hint="eastAsia"/>
                <w:sz w:val="21"/>
                <w:szCs w:val="21"/>
              </w:rPr>
              <w:t>在船舶习惯航路和依法设置的锚地、航道及两侧缓冲区水域禁止养殖。军事区内禁止养殖和地方船只抛锚。严格限制改变海域自然属性，鼓励开放式用海。加强海域污染防治和监测。加强海域污染防治和环境质量监测。海域海水水质不劣于二类标准，海洋沉积物质量和海洋生物质量均不劣于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经纬界址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环境简述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sz w:val="21"/>
                <w:szCs w:val="21"/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养殖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pStyle w:val="62"/>
              <w:jc w:val="center"/>
              <w:rPr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sz w:val="21"/>
                <w:szCs w:val="21"/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威海-青岛东近海农渔业养殖区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99225.96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四至：121°06′22″-121°36′42″E，36°06′43″-36°34′48″N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烟台-威海分界线2（海阳-乳山勘界线）至烟台-青岛分界线之间近海海域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海阳南部海域环境类型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2"/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底播养殖和捕捞区。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区域基本功能为捕捞功能，兼容养殖、增殖、航道、固体矿产、可再生能源等功能。适宜开发贝类底播增养殖和筏式养殖，允许人工鱼礁建设。在船舶习惯航路和依法设置的锚地、航道及两侧缓冲区水域禁止养殖。加强渔业资源养护，控制捕捞强度。严格限制改变海域自然属性，鼓励开发开放式用海。控制养殖密度，严格执行休渔制度。</w:t>
            </w:r>
            <w:r>
              <w:rPr>
                <w:rFonts w:cs="Times New Roman" w:eastAsiaTheme="minorEastAsia"/>
                <w:sz w:val="21"/>
                <w:szCs w:val="21"/>
              </w:rPr>
              <w:t>将海域的养殖容量控制在520564</w:t>
            </w:r>
            <w:r>
              <w:rPr>
                <w:rFonts w:hint="eastAsia" w:cs="Times New Roman" w:eastAsiaTheme="minorEastAsia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sz w:val="21"/>
                <w:szCs w:val="21"/>
              </w:rPr>
              <w:t>以下</w:t>
            </w:r>
            <w:r>
              <w:rPr>
                <w:rFonts w:hint="eastAsia" w:cs="Times New Roman" w:eastAsiaTheme="minor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加强海域污染防治和监测。海域海水水质不劣于二类标准、海洋沉积物质量和海洋生物质量均执行一类标准。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千里岩南保留区养殖区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7772.82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四至：121°30′13″-121°37′54″E，36°03′34″-36°10′42″N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千里岩南部海域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海阳南部海域环境类型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暂未利用。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本区域功能待定，为保留区。有待通过科学论证确定具体用途。严格限制改变海域自然属性。调整时需经科学论证，调整保留区的功能，并按程序报批。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将海域养殖容量控制在40780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Y3-1-1-5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琵琶口人工鱼礁用海养殖区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8678.62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四至：121°20′34″-121°29′40″E，36°37′12″-36°42′33″N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冷家庄南部海域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海阳近岸海域环境类型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以浅海增养殖为主，有部分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底播养殖。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规划用途为人工鱼礁用海，规划期内投放近海资源增殖性人工渔礁为重点，兼顾投放资源保护型，适度投放休闲生态型。人工鱼礁投放前兼容开放式养殖。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将海域的养殖容量控制在11592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以下。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科学论证、合理确定礁体占用海域面积，设置边界标志物，做好礁区的环境监测、日常维护、养护管理等工作。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公顷</w:t>
            </w: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经纬界址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环境简述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使用现状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养殖</w:t>
            </w:r>
          </w:p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Y3-1-1-6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土埠岛人工鱼礁用海养殖区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 xml:space="preserve">3527.57 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四至：121°07′25″-121°09′58″E，36°28′17″-36°33′20″N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万米海滩南部离岸海域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海阳南部海域环境类型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以浅海增养殖为主，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部分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底播养殖。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规划用途为人工鱼礁用海，规划期内投放近海资源增殖性人工渔礁为重点，兼顾投放资源保护型，适度投放休闲生态型。人工鱼礁投放前兼容开放式养殖。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将海域的养殖容量控制在4683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以下。科学论证、合理确定礁体占用海域面积，设置边界标志物，做好礁区的环境监测、日常维护、养护管理等工作。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Y3-1-1-7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千里岩人工鱼礁用海养殖区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1475.79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四至：121°19′05″-121°22′02″E，36°17′19″-36°19′11″N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千里岩西部海域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海阳南部海域环境类型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以浅海增养殖为主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规划用途为人工鱼礁用海，规划期内投放近海资源增殖性人工渔礁为重点，兼顾投放资源保护型，适度投放休闲生态型。人工鱼礁投放前兼容开放式养殖。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将海域的养殖容量控制在1960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吨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以下。科学论证、合理确定礁体占用海域面积，设置边界标志物，做好礁区的环境监测、日常维护、养护管理等工作。</w:t>
            </w:r>
          </w:p>
        </w:tc>
      </w:tr>
    </w:tbl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widowControl/>
        <w:jc w:val="left"/>
        <w:rPr>
          <w:rFonts w:cs="Times New Roman" w:eastAsiaTheme="minorEastAsia"/>
          <w:b/>
          <w:bCs/>
          <w:sz w:val="32"/>
          <w:szCs w:val="32"/>
        </w:rPr>
      </w:pPr>
      <w:r>
        <w:rPr>
          <w:rFonts w:cs="Times New Roman" w:eastAsiaTheme="minorEastAsia"/>
        </w:rPr>
        <w:br w:type="page"/>
      </w:r>
    </w:p>
    <w:p>
      <w:pPr>
        <w:pStyle w:val="2"/>
        <w:rPr>
          <w:rFonts w:ascii="Times New Roman" w:hAnsi="Times New Roman" w:cs="Times New Roman" w:eastAsiaTheme="minorEastAsia"/>
        </w:rPr>
      </w:pPr>
      <w:bookmarkStart w:id="5" w:name="_Toc531161491"/>
      <w:r>
        <w:rPr>
          <w:rFonts w:ascii="Times New Roman" w:hAnsi="Times New Roman" w:cs="Times New Roman" w:eastAsiaTheme="minorEastAsia"/>
        </w:rPr>
        <w:t>附表5 淡水禁养区功能区划登记表</w:t>
      </w:r>
      <w:bookmarkEnd w:id="5"/>
    </w:p>
    <w:tbl>
      <w:tblPr>
        <w:tblStyle w:val="17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93"/>
        <w:gridCol w:w="1387"/>
        <w:gridCol w:w="1134"/>
        <w:gridCol w:w="2551"/>
        <w:gridCol w:w="851"/>
        <w:gridCol w:w="1276"/>
        <w:gridCol w:w="850"/>
        <w:gridCol w:w="70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（公顷）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经纬界址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地理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环境简述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使用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养殖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J1-1-1-1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里店水库禁养区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279.70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121°03′49″-121°05′20″E，36°43′22″-36°44′56″N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二十里店镇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Ⅲ型水库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城乡生活、农业灌溉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sz w:val="21"/>
                <w:szCs w:val="21"/>
              </w:rPr>
              <w:t>本区域基本功能为水源涵养。按照饮用水水源地管理要求禁止一切网箱网围及投饵性、施肥性渔业养殖，但可进行科研活动及放鱼养水。</w:t>
            </w:r>
          </w:p>
        </w:tc>
      </w:tr>
    </w:tbl>
    <w:p>
      <w:pPr>
        <w:rPr>
          <w:rFonts w:cs="Times New Roman" w:eastAsiaTheme="minorEastAsia"/>
        </w:rPr>
      </w:pPr>
    </w:p>
    <w:p>
      <w:pPr>
        <w:widowControl/>
        <w:jc w:val="left"/>
        <w:rPr>
          <w:rFonts w:cs="Times New Roman" w:eastAsiaTheme="minorEastAsia"/>
        </w:rPr>
      </w:pPr>
      <w:r>
        <w:rPr>
          <w:rFonts w:cs="Times New Roman" w:eastAsiaTheme="minorEastAsia"/>
        </w:rPr>
        <w:br w:type="page"/>
      </w:r>
    </w:p>
    <w:p>
      <w:pPr>
        <w:pStyle w:val="2"/>
        <w:rPr>
          <w:rFonts w:ascii="Times New Roman" w:hAnsi="Times New Roman" w:cs="Times New Roman" w:eastAsiaTheme="minorEastAsia"/>
        </w:rPr>
      </w:pPr>
      <w:bookmarkStart w:id="6" w:name="_Toc531161492"/>
      <w:r>
        <w:rPr>
          <w:rFonts w:ascii="Times New Roman" w:hAnsi="Times New Roman" w:cs="Times New Roman" w:eastAsiaTheme="minorEastAsia"/>
        </w:rPr>
        <w:t>附表6 淡水限养区功能区划登记表</w:t>
      </w:r>
      <w:bookmarkEnd w:id="6"/>
    </w:p>
    <w:tbl>
      <w:tblPr>
        <w:tblStyle w:val="17"/>
        <w:tblW w:w="13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02"/>
        <w:gridCol w:w="1399"/>
        <w:gridCol w:w="1143"/>
        <w:gridCol w:w="2658"/>
        <w:gridCol w:w="1134"/>
        <w:gridCol w:w="1134"/>
        <w:gridCol w:w="647"/>
        <w:gridCol w:w="715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功能区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（公顷）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经纬界址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地理位置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环境简述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使用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养殖</w:t>
            </w:r>
          </w:p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现状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1"/>
                <w:szCs w:val="21"/>
              </w:rPr>
              <w:t>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X2-3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2-1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建新水库限养区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190.20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121°04′53″-121°05′56″E，37°00′59″-37°03′00″N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郭城镇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Ⅲ型水库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农业灌溉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widowControl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按照水库相关管理办法进行限养。禁止一切网箱网围及投饵性、施肥性渔业养殖。可进行适宜种类增殖放流。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X2-3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2-2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盘石水库限养区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131.02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121°14′03″-121°15′54″E，36°53′08″-36°54′18″N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盘石店镇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Ⅲ型水库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农业灌溉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widowControl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按照水库相关管理办法进行限养。禁止一切网箱网围及投饵性、施肥性渔业养殖。可进行适宜种类增殖放流。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X2-3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2-3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南台水库限养区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109.94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四至：</w:t>
            </w:r>
          </w:p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121°01′35″-121°02′35″E，36°49′17″-36°50′21″N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小纪镇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Ⅲ型水库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农业灌溉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widowControl/>
              <w:rPr>
                <w:rFonts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</w:rPr>
              <w:t>按照水库相关管理办法进行限养。禁止一切网箱网围及投饵性、施肥性渔业养殖。可进行适宜种类增殖放流。</w:t>
            </w:r>
          </w:p>
        </w:tc>
      </w:tr>
    </w:tbl>
    <w:p>
      <w:pPr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1037242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18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CA"/>
    <w:rsid w:val="00000574"/>
    <w:rsid w:val="0001664C"/>
    <w:rsid w:val="00022BAA"/>
    <w:rsid w:val="00032CED"/>
    <w:rsid w:val="00032F8D"/>
    <w:rsid w:val="00043F62"/>
    <w:rsid w:val="00044667"/>
    <w:rsid w:val="00063E88"/>
    <w:rsid w:val="00072140"/>
    <w:rsid w:val="0007231D"/>
    <w:rsid w:val="00075574"/>
    <w:rsid w:val="000773A0"/>
    <w:rsid w:val="00085B99"/>
    <w:rsid w:val="000868B5"/>
    <w:rsid w:val="000926FD"/>
    <w:rsid w:val="00095C9A"/>
    <w:rsid w:val="00096CC5"/>
    <w:rsid w:val="000A3648"/>
    <w:rsid w:val="000A3DC0"/>
    <w:rsid w:val="000A3F9F"/>
    <w:rsid w:val="000A4681"/>
    <w:rsid w:val="000B2068"/>
    <w:rsid w:val="000B294D"/>
    <w:rsid w:val="000B3A36"/>
    <w:rsid w:val="000B3DBE"/>
    <w:rsid w:val="000C0B6F"/>
    <w:rsid w:val="000C560F"/>
    <w:rsid w:val="000C6248"/>
    <w:rsid w:val="000D081D"/>
    <w:rsid w:val="000D719E"/>
    <w:rsid w:val="000E615E"/>
    <w:rsid w:val="000E685F"/>
    <w:rsid w:val="000F0DDA"/>
    <w:rsid w:val="000F1FA2"/>
    <w:rsid w:val="000F28DA"/>
    <w:rsid w:val="000F51E5"/>
    <w:rsid w:val="00104D56"/>
    <w:rsid w:val="00117EAD"/>
    <w:rsid w:val="00125CB8"/>
    <w:rsid w:val="001362BD"/>
    <w:rsid w:val="00155A2F"/>
    <w:rsid w:val="001631A1"/>
    <w:rsid w:val="00177799"/>
    <w:rsid w:val="001925F7"/>
    <w:rsid w:val="001A036F"/>
    <w:rsid w:val="001A0848"/>
    <w:rsid w:val="001A72BD"/>
    <w:rsid w:val="001B218A"/>
    <w:rsid w:val="001B5162"/>
    <w:rsid w:val="001B52C9"/>
    <w:rsid w:val="001C0C0D"/>
    <w:rsid w:val="001C12FC"/>
    <w:rsid w:val="001C59BF"/>
    <w:rsid w:val="001C75B1"/>
    <w:rsid w:val="00203CD1"/>
    <w:rsid w:val="0021112F"/>
    <w:rsid w:val="002122BD"/>
    <w:rsid w:val="00225D69"/>
    <w:rsid w:val="00231CAA"/>
    <w:rsid w:val="00242543"/>
    <w:rsid w:val="00244EBE"/>
    <w:rsid w:val="00251885"/>
    <w:rsid w:val="0026518B"/>
    <w:rsid w:val="00275407"/>
    <w:rsid w:val="00276AC5"/>
    <w:rsid w:val="00284DC5"/>
    <w:rsid w:val="00287A8F"/>
    <w:rsid w:val="00290EC3"/>
    <w:rsid w:val="00291549"/>
    <w:rsid w:val="002944B8"/>
    <w:rsid w:val="002A1C07"/>
    <w:rsid w:val="002A4EC4"/>
    <w:rsid w:val="002A5ADC"/>
    <w:rsid w:val="002B338B"/>
    <w:rsid w:val="002E4C02"/>
    <w:rsid w:val="002E7010"/>
    <w:rsid w:val="002F3A61"/>
    <w:rsid w:val="00301409"/>
    <w:rsid w:val="00303032"/>
    <w:rsid w:val="00304A05"/>
    <w:rsid w:val="00304CBF"/>
    <w:rsid w:val="0031049B"/>
    <w:rsid w:val="0031408F"/>
    <w:rsid w:val="00316187"/>
    <w:rsid w:val="00321870"/>
    <w:rsid w:val="003300E6"/>
    <w:rsid w:val="0033028F"/>
    <w:rsid w:val="00333106"/>
    <w:rsid w:val="00333D19"/>
    <w:rsid w:val="00336AB3"/>
    <w:rsid w:val="0034164E"/>
    <w:rsid w:val="0034328B"/>
    <w:rsid w:val="003525B3"/>
    <w:rsid w:val="00354E27"/>
    <w:rsid w:val="00371746"/>
    <w:rsid w:val="0037320D"/>
    <w:rsid w:val="00374084"/>
    <w:rsid w:val="0038710D"/>
    <w:rsid w:val="003A32A6"/>
    <w:rsid w:val="003A45D2"/>
    <w:rsid w:val="003B1513"/>
    <w:rsid w:val="003D1054"/>
    <w:rsid w:val="003D2239"/>
    <w:rsid w:val="003D5D57"/>
    <w:rsid w:val="003D640C"/>
    <w:rsid w:val="003E0620"/>
    <w:rsid w:val="003E0D3C"/>
    <w:rsid w:val="003E79F5"/>
    <w:rsid w:val="003F3750"/>
    <w:rsid w:val="003F60FD"/>
    <w:rsid w:val="003F65DB"/>
    <w:rsid w:val="00400E65"/>
    <w:rsid w:val="004017B0"/>
    <w:rsid w:val="00402290"/>
    <w:rsid w:val="00402AFD"/>
    <w:rsid w:val="00404005"/>
    <w:rsid w:val="004048B5"/>
    <w:rsid w:val="0040716B"/>
    <w:rsid w:val="0041007C"/>
    <w:rsid w:val="004209CA"/>
    <w:rsid w:val="00422A8B"/>
    <w:rsid w:val="00444A1E"/>
    <w:rsid w:val="00463320"/>
    <w:rsid w:val="00465064"/>
    <w:rsid w:val="00471968"/>
    <w:rsid w:val="00475F7F"/>
    <w:rsid w:val="00485AE8"/>
    <w:rsid w:val="004871D2"/>
    <w:rsid w:val="0049069B"/>
    <w:rsid w:val="004A1B31"/>
    <w:rsid w:val="004A4A7F"/>
    <w:rsid w:val="004B729D"/>
    <w:rsid w:val="004C1DD1"/>
    <w:rsid w:val="004C207E"/>
    <w:rsid w:val="004C6C6B"/>
    <w:rsid w:val="004C70D8"/>
    <w:rsid w:val="004D13B7"/>
    <w:rsid w:val="004E377E"/>
    <w:rsid w:val="004F413C"/>
    <w:rsid w:val="004F7972"/>
    <w:rsid w:val="0050535D"/>
    <w:rsid w:val="00505C93"/>
    <w:rsid w:val="005224E9"/>
    <w:rsid w:val="00527FD1"/>
    <w:rsid w:val="00536C39"/>
    <w:rsid w:val="00541731"/>
    <w:rsid w:val="00541F0A"/>
    <w:rsid w:val="00545068"/>
    <w:rsid w:val="00545829"/>
    <w:rsid w:val="00555087"/>
    <w:rsid w:val="005775B2"/>
    <w:rsid w:val="00580C40"/>
    <w:rsid w:val="00580F96"/>
    <w:rsid w:val="00583151"/>
    <w:rsid w:val="0059000E"/>
    <w:rsid w:val="005913DD"/>
    <w:rsid w:val="00591441"/>
    <w:rsid w:val="005918DC"/>
    <w:rsid w:val="0059621B"/>
    <w:rsid w:val="005A1EEE"/>
    <w:rsid w:val="005B57DF"/>
    <w:rsid w:val="005C0D12"/>
    <w:rsid w:val="005C5560"/>
    <w:rsid w:val="005D2C5A"/>
    <w:rsid w:val="005D4319"/>
    <w:rsid w:val="005E73D5"/>
    <w:rsid w:val="005F3733"/>
    <w:rsid w:val="005F6BB3"/>
    <w:rsid w:val="00600D81"/>
    <w:rsid w:val="00601168"/>
    <w:rsid w:val="006026FC"/>
    <w:rsid w:val="00603AE2"/>
    <w:rsid w:val="00604F3D"/>
    <w:rsid w:val="00613027"/>
    <w:rsid w:val="006163E2"/>
    <w:rsid w:val="00634581"/>
    <w:rsid w:val="00634F92"/>
    <w:rsid w:val="00635B3D"/>
    <w:rsid w:val="0064438B"/>
    <w:rsid w:val="00653910"/>
    <w:rsid w:val="006575A6"/>
    <w:rsid w:val="00662B6B"/>
    <w:rsid w:val="006727A8"/>
    <w:rsid w:val="00672BC9"/>
    <w:rsid w:val="00697AA7"/>
    <w:rsid w:val="006B639F"/>
    <w:rsid w:val="006C02B4"/>
    <w:rsid w:val="006C184A"/>
    <w:rsid w:val="006C6971"/>
    <w:rsid w:val="006D7909"/>
    <w:rsid w:val="006E2155"/>
    <w:rsid w:val="006E3541"/>
    <w:rsid w:val="006E37CD"/>
    <w:rsid w:val="006E63A6"/>
    <w:rsid w:val="006F5384"/>
    <w:rsid w:val="007035BA"/>
    <w:rsid w:val="00706955"/>
    <w:rsid w:val="0071381C"/>
    <w:rsid w:val="007269DA"/>
    <w:rsid w:val="00730D42"/>
    <w:rsid w:val="00731AB4"/>
    <w:rsid w:val="00732476"/>
    <w:rsid w:val="007329C4"/>
    <w:rsid w:val="00736A5C"/>
    <w:rsid w:val="007461C3"/>
    <w:rsid w:val="00746912"/>
    <w:rsid w:val="00750AE6"/>
    <w:rsid w:val="00750E2A"/>
    <w:rsid w:val="00751720"/>
    <w:rsid w:val="00761EB5"/>
    <w:rsid w:val="00772931"/>
    <w:rsid w:val="0078541C"/>
    <w:rsid w:val="0078768A"/>
    <w:rsid w:val="00791256"/>
    <w:rsid w:val="00794C06"/>
    <w:rsid w:val="00794D53"/>
    <w:rsid w:val="007A411F"/>
    <w:rsid w:val="007A5D93"/>
    <w:rsid w:val="007A604C"/>
    <w:rsid w:val="007A71A4"/>
    <w:rsid w:val="007B41B4"/>
    <w:rsid w:val="007B4403"/>
    <w:rsid w:val="007C107E"/>
    <w:rsid w:val="007C7581"/>
    <w:rsid w:val="007D05FE"/>
    <w:rsid w:val="007D75DD"/>
    <w:rsid w:val="007E04D0"/>
    <w:rsid w:val="007E1833"/>
    <w:rsid w:val="007F060E"/>
    <w:rsid w:val="007F147C"/>
    <w:rsid w:val="007F6171"/>
    <w:rsid w:val="0080113C"/>
    <w:rsid w:val="00802786"/>
    <w:rsid w:val="0080385A"/>
    <w:rsid w:val="0080509E"/>
    <w:rsid w:val="00806534"/>
    <w:rsid w:val="00807946"/>
    <w:rsid w:val="00813271"/>
    <w:rsid w:val="00813A55"/>
    <w:rsid w:val="00824D83"/>
    <w:rsid w:val="008365F5"/>
    <w:rsid w:val="00841084"/>
    <w:rsid w:val="00846633"/>
    <w:rsid w:val="00850199"/>
    <w:rsid w:val="00851529"/>
    <w:rsid w:val="008525CB"/>
    <w:rsid w:val="0086009E"/>
    <w:rsid w:val="008603CA"/>
    <w:rsid w:val="008633F2"/>
    <w:rsid w:val="00865A2C"/>
    <w:rsid w:val="008860C7"/>
    <w:rsid w:val="0089179B"/>
    <w:rsid w:val="008920AE"/>
    <w:rsid w:val="00893BDE"/>
    <w:rsid w:val="00896A68"/>
    <w:rsid w:val="008A109C"/>
    <w:rsid w:val="008A3A13"/>
    <w:rsid w:val="008B7506"/>
    <w:rsid w:val="008C2792"/>
    <w:rsid w:val="008C46FF"/>
    <w:rsid w:val="008D5DA3"/>
    <w:rsid w:val="008E12E2"/>
    <w:rsid w:val="008F0FFF"/>
    <w:rsid w:val="008F4A69"/>
    <w:rsid w:val="009004F0"/>
    <w:rsid w:val="0090090E"/>
    <w:rsid w:val="00906B0B"/>
    <w:rsid w:val="00910DFD"/>
    <w:rsid w:val="009139C8"/>
    <w:rsid w:val="00915954"/>
    <w:rsid w:val="00915FD2"/>
    <w:rsid w:val="00927AB3"/>
    <w:rsid w:val="00931C3B"/>
    <w:rsid w:val="0093547E"/>
    <w:rsid w:val="009400E6"/>
    <w:rsid w:val="00950D7D"/>
    <w:rsid w:val="00952798"/>
    <w:rsid w:val="009535AB"/>
    <w:rsid w:val="009643CE"/>
    <w:rsid w:val="00983152"/>
    <w:rsid w:val="009924A0"/>
    <w:rsid w:val="00994A80"/>
    <w:rsid w:val="009A0543"/>
    <w:rsid w:val="009C38CF"/>
    <w:rsid w:val="009D27A9"/>
    <w:rsid w:val="009E5647"/>
    <w:rsid w:val="009F3806"/>
    <w:rsid w:val="00A048BD"/>
    <w:rsid w:val="00A07FB6"/>
    <w:rsid w:val="00A35443"/>
    <w:rsid w:val="00A35D94"/>
    <w:rsid w:val="00A455C0"/>
    <w:rsid w:val="00A467D1"/>
    <w:rsid w:val="00A56352"/>
    <w:rsid w:val="00A62AD8"/>
    <w:rsid w:val="00A65269"/>
    <w:rsid w:val="00A765C0"/>
    <w:rsid w:val="00A81968"/>
    <w:rsid w:val="00A93163"/>
    <w:rsid w:val="00A95217"/>
    <w:rsid w:val="00AA1484"/>
    <w:rsid w:val="00AA2685"/>
    <w:rsid w:val="00AA2A1F"/>
    <w:rsid w:val="00AB30EC"/>
    <w:rsid w:val="00AB45CA"/>
    <w:rsid w:val="00AB5D18"/>
    <w:rsid w:val="00AC3AFE"/>
    <w:rsid w:val="00AC428E"/>
    <w:rsid w:val="00AD40AB"/>
    <w:rsid w:val="00AD51AF"/>
    <w:rsid w:val="00AF26A1"/>
    <w:rsid w:val="00AF29CA"/>
    <w:rsid w:val="00B06353"/>
    <w:rsid w:val="00B07983"/>
    <w:rsid w:val="00B204C1"/>
    <w:rsid w:val="00B22549"/>
    <w:rsid w:val="00B22F42"/>
    <w:rsid w:val="00B25806"/>
    <w:rsid w:val="00B30D17"/>
    <w:rsid w:val="00B31860"/>
    <w:rsid w:val="00B335EB"/>
    <w:rsid w:val="00B34742"/>
    <w:rsid w:val="00B37FDE"/>
    <w:rsid w:val="00B46B93"/>
    <w:rsid w:val="00B62E5A"/>
    <w:rsid w:val="00B7049E"/>
    <w:rsid w:val="00B9582F"/>
    <w:rsid w:val="00B96634"/>
    <w:rsid w:val="00BA1EED"/>
    <w:rsid w:val="00BA20B3"/>
    <w:rsid w:val="00BA2EDB"/>
    <w:rsid w:val="00BA7F0C"/>
    <w:rsid w:val="00BB15D6"/>
    <w:rsid w:val="00BB7B24"/>
    <w:rsid w:val="00BC2894"/>
    <w:rsid w:val="00BC6EF5"/>
    <w:rsid w:val="00BD7147"/>
    <w:rsid w:val="00BD7457"/>
    <w:rsid w:val="00BE1959"/>
    <w:rsid w:val="00BE2470"/>
    <w:rsid w:val="00BE7941"/>
    <w:rsid w:val="00BF23A2"/>
    <w:rsid w:val="00C017A6"/>
    <w:rsid w:val="00C01B30"/>
    <w:rsid w:val="00C22F48"/>
    <w:rsid w:val="00C2614E"/>
    <w:rsid w:val="00C2675E"/>
    <w:rsid w:val="00C267ED"/>
    <w:rsid w:val="00C30168"/>
    <w:rsid w:val="00C33701"/>
    <w:rsid w:val="00C35125"/>
    <w:rsid w:val="00C36E4E"/>
    <w:rsid w:val="00C45C89"/>
    <w:rsid w:val="00C71296"/>
    <w:rsid w:val="00C72105"/>
    <w:rsid w:val="00C77BA1"/>
    <w:rsid w:val="00C87905"/>
    <w:rsid w:val="00C950A9"/>
    <w:rsid w:val="00CA2F2D"/>
    <w:rsid w:val="00CA3EBB"/>
    <w:rsid w:val="00CA5ED7"/>
    <w:rsid w:val="00CB3061"/>
    <w:rsid w:val="00CB7719"/>
    <w:rsid w:val="00CB7C35"/>
    <w:rsid w:val="00CC2CD9"/>
    <w:rsid w:val="00CD0D0D"/>
    <w:rsid w:val="00CD2271"/>
    <w:rsid w:val="00CD6940"/>
    <w:rsid w:val="00CE02A6"/>
    <w:rsid w:val="00CF2156"/>
    <w:rsid w:val="00CF3403"/>
    <w:rsid w:val="00CF3F70"/>
    <w:rsid w:val="00D04E01"/>
    <w:rsid w:val="00D34A3D"/>
    <w:rsid w:val="00D40411"/>
    <w:rsid w:val="00D4152C"/>
    <w:rsid w:val="00D4773D"/>
    <w:rsid w:val="00D56754"/>
    <w:rsid w:val="00D64996"/>
    <w:rsid w:val="00D67A4C"/>
    <w:rsid w:val="00D77112"/>
    <w:rsid w:val="00D80C3D"/>
    <w:rsid w:val="00D974FB"/>
    <w:rsid w:val="00DA630A"/>
    <w:rsid w:val="00DB0BB5"/>
    <w:rsid w:val="00DB1098"/>
    <w:rsid w:val="00DB2F57"/>
    <w:rsid w:val="00DB6747"/>
    <w:rsid w:val="00DB7825"/>
    <w:rsid w:val="00DD1B97"/>
    <w:rsid w:val="00DE2943"/>
    <w:rsid w:val="00DE7334"/>
    <w:rsid w:val="00DF3E31"/>
    <w:rsid w:val="00DF3E85"/>
    <w:rsid w:val="00E01F3F"/>
    <w:rsid w:val="00E206CB"/>
    <w:rsid w:val="00E23A05"/>
    <w:rsid w:val="00E26837"/>
    <w:rsid w:val="00E337CF"/>
    <w:rsid w:val="00E3488D"/>
    <w:rsid w:val="00E35937"/>
    <w:rsid w:val="00E41CAB"/>
    <w:rsid w:val="00E4409D"/>
    <w:rsid w:val="00E5277C"/>
    <w:rsid w:val="00E53582"/>
    <w:rsid w:val="00E55475"/>
    <w:rsid w:val="00E65791"/>
    <w:rsid w:val="00E704A4"/>
    <w:rsid w:val="00E8159F"/>
    <w:rsid w:val="00E838C7"/>
    <w:rsid w:val="00E86D0C"/>
    <w:rsid w:val="00E902A6"/>
    <w:rsid w:val="00E931C7"/>
    <w:rsid w:val="00EA2D89"/>
    <w:rsid w:val="00EA331E"/>
    <w:rsid w:val="00EB00E1"/>
    <w:rsid w:val="00EC277E"/>
    <w:rsid w:val="00EC3012"/>
    <w:rsid w:val="00EE4095"/>
    <w:rsid w:val="00EE453C"/>
    <w:rsid w:val="00EE6F13"/>
    <w:rsid w:val="00EE79AD"/>
    <w:rsid w:val="00F0156A"/>
    <w:rsid w:val="00F10737"/>
    <w:rsid w:val="00F27998"/>
    <w:rsid w:val="00F309F8"/>
    <w:rsid w:val="00F47C36"/>
    <w:rsid w:val="00F5222E"/>
    <w:rsid w:val="00F55FB2"/>
    <w:rsid w:val="00F63689"/>
    <w:rsid w:val="00F665B8"/>
    <w:rsid w:val="00F766B9"/>
    <w:rsid w:val="00F778E9"/>
    <w:rsid w:val="00F8009E"/>
    <w:rsid w:val="00F83D6D"/>
    <w:rsid w:val="00F9032D"/>
    <w:rsid w:val="00F9373C"/>
    <w:rsid w:val="00F97C6B"/>
    <w:rsid w:val="00F97F2C"/>
    <w:rsid w:val="00FA0E64"/>
    <w:rsid w:val="00FA244A"/>
    <w:rsid w:val="00FA61AE"/>
    <w:rsid w:val="00FB23FD"/>
    <w:rsid w:val="00FC2370"/>
    <w:rsid w:val="00FC60B3"/>
    <w:rsid w:val="00FD0642"/>
    <w:rsid w:val="00FD4C77"/>
    <w:rsid w:val="00FE1AC9"/>
    <w:rsid w:val="00FE5ACE"/>
    <w:rsid w:val="00FF08AE"/>
    <w:rsid w:val="00FF13BA"/>
    <w:rsid w:val="00FF551C"/>
    <w:rsid w:val="00FF7EDA"/>
    <w:rsid w:val="07764207"/>
    <w:rsid w:val="1807506E"/>
    <w:rsid w:val="4A892982"/>
    <w:rsid w:val="58812519"/>
    <w:rsid w:val="7E9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4">
    <w:name w:val="toc 5"/>
    <w:basedOn w:val="1"/>
    <w:next w:val="1"/>
    <w:unhideWhenUsed/>
    <w:qFormat/>
    <w:uiPriority w:val="39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3"/>
    <w:basedOn w:val="1"/>
    <w:next w:val="1"/>
    <w:unhideWhenUsed/>
    <w:qFormat/>
    <w:uiPriority w:val="3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6">
    <w:name w:val="toc 8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footer"/>
    <w:basedOn w:val="1"/>
    <w:link w:val="5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10">
    <w:name w:val="toc 4"/>
    <w:basedOn w:val="1"/>
    <w:next w:val="1"/>
    <w:unhideWhenUsed/>
    <w:qFormat/>
    <w:uiPriority w:val="39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11">
    <w:name w:val="toc 6"/>
    <w:basedOn w:val="1"/>
    <w:next w:val="1"/>
    <w:unhideWhenUsed/>
    <w:qFormat/>
    <w:uiPriority w:val="39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238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3">
    <w:name w:val="toc 9"/>
    <w:basedOn w:val="1"/>
    <w:next w:val="1"/>
    <w:unhideWhenUsed/>
    <w:qFormat/>
    <w:uiPriority w:val="39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15">
    <w:name w:val="FollowedHyperlink"/>
    <w:basedOn w:val="14"/>
    <w:semiHidden/>
    <w:unhideWhenUsed/>
    <w:qFormat/>
    <w:uiPriority w:val="99"/>
    <w:rPr>
      <w:color w:val="954F72"/>
      <w:u w:val="single"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标题 2 字符"/>
    <w:basedOn w:val="1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1"/>
      <w:szCs w:val="21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1"/>
      <w:szCs w:val="21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color w:val="000000"/>
      <w:kern w:val="0"/>
      <w:sz w:val="21"/>
      <w:szCs w:val="21"/>
    </w:rPr>
  </w:style>
  <w:style w:type="paragraph" w:customStyle="1" w:styleId="24">
    <w:name w:val="xl6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kern w:val="0"/>
      <w:sz w:val="21"/>
      <w:szCs w:val="21"/>
    </w:rPr>
  </w:style>
  <w:style w:type="paragraph" w:customStyle="1" w:styleId="25">
    <w:name w:val="xl66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26">
    <w:name w:val="xl67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27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Times New Roman"/>
      <w:color w:val="000000"/>
      <w:kern w:val="0"/>
      <w:sz w:val="21"/>
      <w:szCs w:val="21"/>
    </w:rPr>
  </w:style>
  <w:style w:type="paragraph" w:customStyle="1" w:styleId="28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29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cs="Times New Roman"/>
      <w:kern w:val="0"/>
      <w:szCs w:val="24"/>
    </w:rPr>
  </w:style>
  <w:style w:type="paragraph" w:customStyle="1" w:styleId="30">
    <w:name w:val="xl71"/>
    <w:basedOn w:val="1"/>
    <w:qFormat/>
    <w:uiPriority w:val="0"/>
    <w:pPr>
      <w:widowControl/>
      <w:pBdr>
        <w:bottom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31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cs="Times New Roman"/>
      <w:kern w:val="0"/>
      <w:szCs w:val="24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kern w:val="0"/>
      <w:sz w:val="21"/>
      <w:szCs w:val="21"/>
    </w:rPr>
  </w:style>
  <w:style w:type="paragraph" w:customStyle="1" w:styleId="33">
    <w:name w:val="xl74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kern w:val="0"/>
      <w:sz w:val="21"/>
      <w:szCs w:val="21"/>
    </w:rPr>
  </w:style>
  <w:style w:type="paragraph" w:customStyle="1" w:styleId="34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35">
    <w:name w:val="xl76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36">
    <w:name w:val="xl77"/>
    <w:basedOn w:val="1"/>
    <w:qFormat/>
    <w:uiPriority w:val="0"/>
    <w:pPr>
      <w:widowControl/>
      <w:pBdr>
        <w:top w:val="single" w:color="auto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kern w:val="0"/>
      <w:sz w:val="21"/>
      <w:szCs w:val="21"/>
    </w:rPr>
  </w:style>
  <w:style w:type="paragraph" w:customStyle="1" w:styleId="37">
    <w:name w:val="xl78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kern w:val="0"/>
      <w:sz w:val="21"/>
      <w:szCs w:val="21"/>
    </w:rPr>
  </w:style>
  <w:style w:type="paragraph" w:customStyle="1" w:styleId="38">
    <w:name w:val="xl79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39">
    <w:name w:val="xl80"/>
    <w:basedOn w:val="1"/>
    <w:qFormat/>
    <w:uiPriority w:val="0"/>
    <w:pPr>
      <w:widowControl/>
      <w:pBdr>
        <w:left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0">
    <w:name w:val="xl81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1">
    <w:name w:val="xl82"/>
    <w:basedOn w:val="1"/>
    <w:qFormat/>
    <w:uiPriority w:val="0"/>
    <w:pPr>
      <w:widowControl/>
      <w:pBdr>
        <w:left w:val="single" w:color="auto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2">
    <w:name w:val="xl83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3">
    <w:name w:val="xl84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4">
    <w:name w:val="xl85"/>
    <w:basedOn w:val="1"/>
    <w:qFormat/>
    <w:uiPriority w:val="0"/>
    <w:pPr>
      <w:widowControl/>
      <w:pBdr>
        <w:left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5">
    <w:name w:val="xl86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6">
    <w:name w:val="xl87"/>
    <w:basedOn w:val="1"/>
    <w:qFormat/>
    <w:uiPriority w:val="0"/>
    <w:pPr>
      <w:widowControl/>
      <w:pBdr>
        <w:top w:val="single" w:color="000000" w:sz="8" w:space="0"/>
        <w:lef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7">
    <w:name w:val="xl88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8">
    <w:name w:val="xl89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49">
    <w:name w:val="xl90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0">
    <w:name w:val="xl91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1">
    <w:name w:val="xl92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2">
    <w:name w:val="xl93"/>
    <w:basedOn w:val="1"/>
    <w:qFormat/>
    <w:uiPriority w:val="0"/>
    <w:pPr>
      <w:widowControl/>
      <w:pBdr>
        <w:left w:val="single" w:color="auto" w:sz="8" w:space="0"/>
        <w:bottom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3">
    <w:name w:val="xl94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4">
    <w:name w:val="xl95"/>
    <w:basedOn w:val="1"/>
    <w:qFormat/>
    <w:uiPriority w:val="0"/>
    <w:pPr>
      <w:widowControl/>
      <w:pBdr>
        <w:top w:val="single" w:color="auto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5">
    <w:name w:val="xl9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6">
    <w:name w:val="xl97"/>
    <w:basedOn w:val="1"/>
    <w:qFormat/>
    <w:uiPriority w:val="0"/>
    <w:pPr>
      <w:widowControl/>
      <w:pBdr>
        <w:left w:val="single" w:color="000000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paragraph" w:customStyle="1" w:styleId="57">
    <w:name w:val="xl9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000000" w:sz="8" w:space="0"/>
      </w:pBdr>
      <w:spacing w:before="100" w:beforeAutospacing="1" w:after="100" w:afterAutospacing="1"/>
      <w:jc w:val="left"/>
      <w:textAlignment w:val="top"/>
    </w:pPr>
    <w:rPr>
      <w:rFonts w:cs="Times New Roman"/>
      <w:kern w:val="0"/>
      <w:sz w:val="21"/>
      <w:szCs w:val="21"/>
    </w:rPr>
  </w:style>
  <w:style w:type="character" w:customStyle="1" w:styleId="58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59">
    <w:name w:val="页脚 字符"/>
    <w:basedOn w:val="14"/>
    <w:link w:val="7"/>
    <w:qFormat/>
    <w:uiPriority w:val="99"/>
    <w:rPr>
      <w:sz w:val="18"/>
      <w:szCs w:val="18"/>
    </w:rPr>
  </w:style>
  <w:style w:type="paragraph" w:customStyle="1" w:styleId="6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6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6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4F51B-B49F-4D1F-996D-A9CEA2F85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OUC</Company>
  <Pages>23</Pages>
  <Words>2113</Words>
  <Characters>12046</Characters>
  <Lines>100</Lines>
  <Paragraphs>28</Paragraphs>
  <TotalTime>0</TotalTime>
  <ScaleCrop>false</ScaleCrop>
  <LinksUpToDate>false</LinksUpToDate>
  <CharactersWithSpaces>14131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2018-02-03T21:56:00Z</dcterms:created>
  <dc:creator>Wang Zhiyang</dc:creator>
  <cp:lastModifiedBy>HP</cp:lastModifiedBy>
  <cp:lastPrinted>2018-09-28T01:34:00Z</cp:lastPrinted>
  <dcterms:modified xsi:type="dcterms:W3CDTF">2021-08-19T08:12:23Z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