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line style="position:absolute;mso-position-horizontal-relative:page;mso-position-vertical-relative:page;z-index:-251859968" from="42.240002pt,290.040039pt" to="473.160002pt,290.040039pt" stroked="true" strokeweight="2.88pt" strokecolor="#ff0000">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7"/>
        </w:rPr>
      </w:pPr>
    </w:p>
    <w:p>
      <w:pPr>
        <w:pStyle w:val="Title"/>
      </w:pPr>
      <w:r>
        <w:rPr>
          <w:color w:val="FF0000"/>
          <w:spacing w:val="-81"/>
          <w:w w:val="50"/>
        </w:rPr>
        <w:t>海阳市人民政府办公室文件</w:t>
      </w:r>
    </w:p>
    <w:p>
      <w:pPr>
        <w:pStyle w:val="BodyText"/>
        <w:spacing w:before="369"/>
        <w:ind w:left="150" w:right="139"/>
        <w:jc w:val="center"/>
      </w:pPr>
      <w:r>
        <w:rPr/>
        <w:t>海政办发〔2020〕9号</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700" w:lineRule="exact" w:before="124"/>
        <w:ind w:right="149"/>
      </w:pPr>
      <w:r>
        <w:rPr/>
        <w:t>海阳市人民政府办公室</w:t>
      </w:r>
    </w:p>
    <w:p>
      <w:pPr>
        <w:spacing w:line="211" w:lineRule="auto" w:before="17"/>
        <w:ind w:left="150" w:right="154" w:firstLine="0"/>
        <w:jc w:val="center"/>
        <w:rPr>
          <w:rFonts w:ascii="方正小标宋简体" w:eastAsia="方正小标宋简体" w:hint="eastAsia"/>
          <w:i/>
          <w:sz w:val="42"/>
        </w:rPr>
      </w:pPr>
      <w:r>
        <w:rPr>
          <w:rFonts w:ascii="方正小标宋简体" w:eastAsia="方正小标宋简体" w:hint="eastAsia"/>
          <w:i/>
          <w:sz w:val="42"/>
        </w:rPr>
        <w:t>关于印发2020年海阳市政务公开工作要点的通知</w:t>
      </w:r>
    </w:p>
    <w:p>
      <w:pPr>
        <w:pStyle w:val="BodyText"/>
        <w:spacing w:before="15"/>
        <w:rPr>
          <w:rFonts w:ascii="方正小标宋简体"/>
          <w:i/>
          <w:sz w:val="35"/>
        </w:rPr>
      </w:pPr>
    </w:p>
    <w:p>
      <w:pPr>
        <w:pStyle w:val="BodyText"/>
        <w:ind w:left="111"/>
      </w:pPr>
      <w:r>
        <w:rPr>
          <w:w w:val="80"/>
        </w:rPr>
        <w:t>各镇区街道政府（管委、办事处），市政府各部门，有关单位：</w:t>
      </w:r>
    </w:p>
    <w:p>
      <w:pPr>
        <w:pStyle w:val="BodyText"/>
        <w:spacing w:line="326" w:lineRule="auto" w:before="140"/>
        <w:ind w:left="111" w:right="102" w:firstLine="636"/>
      </w:pPr>
      <w:r>
        <w:rPr/>
        <w:t>《2020年海阳市政务公开工作要点》已经市政府同意，现印发给你们，请认真贯彻落实。</w:t>
      </w:r>
    </w:p>
    <w:p>
      <w:pPr>
        <w:spacing w:after="0" w:line="326" w:lineRule="auto"/>
        <w:sectPr>
          <w:footerReference w:type="default" r:id="rId5"/>
          <w:footerReference w:type="even" r:id="rId6"/>
          <w:type w:val="continuous"/>
          <w:pgSz w:w="10320" w:h="14580"/>
          <w:pgMar w:footer="1185" w:top="1360" w:bottom="1340" w:left="1420" w:right="1420"/>
          <w:pgNumType w:start="1"/>
        </w:sectPr>
      </w:pPr>
    </w:p>
    <w:p>
      <w:pPr>
        <w:pStyle w:val="BodyText"/>
        <w:spacing w:before="12"/>
        <w:rPr>
          <w:sz w:val="17"/>
        </w:rPr>
      </w:pPr>
    </w:p>
    <w:p>
      <w:pPr>
        <w:spacing w:after="0"/>
        <w:rPr>
          <w:sz w:val="17"/>
        </w:rPr>
        <w:sectPr>
          <w:pgSz w:w="10320" w:h="14580"/>
          <w:pgMar w:header="0" w:footer="1157" w:top="1360" w:bottom="1380" w:left="1420" w:right="1420"/>
        </w:sectPr>
      </w:pPr>
    </w:p>
    <w:p>
      <w:pPr>
        <w:pStyle w:val="BodyText"/>
        <w:rPr>
          <w:sz w:val="32"/>
        </w:rPr>
      </w:pPr>
    </w:p>
    <w:p>
      <w:pPr>
        <w:pStyle w:val="BodyText"/>
        <w:rPr>
          <w:sz w:val="32"/>
        </w:rPr>
      </w:pPr>
    </w:p>
    <w:p>
      <w:pPr>
        <w:pStyle w:val="BodyText"/>
        <w:rPr>
          <w:sz w:val="25"/>
        </w:rPr>
      </w:pPr>
    </w:p>
    <w:p>
      <w:pPr>
        <w:pStyle w:val="BodyText"/>
        <w:ind w:left="747"/>
      </w:pPr>
      <w:r>
        <w:rPr/>
        <w:t>（此件公开发布）</w:t>
      </w:r>
    </w:p>
    <w:p>
      <w:pPr>
        <w:pStyle w:val="BodyText"/>
        <w:spacing w:line="324" w:lineRule="auto" w:before="63"/>
        <w:ind w:left="1224" w:right="119" w:hanging="478"/>
      </w:pPr>
      <w:r>
        <w:rPr/>
        <w:br w:type="column"/>
      </w:r>
      <w:r>
        <w:rPr/>
        <w:t>海阳市人民政府办公室2020年7月12日</w:t>
      </w:r>
    </w:p>
    <w:p>
      <w:pPr>
        <w:spacing w:after="0" w:line="324" w:lineRule="auto"/>
        <w:sectPr>
          <w:type w:val="continuous"/>
          <w:pgSz w:w="10320" w:h="14580"/>
          <w:pgMar w:top="1360" w:bottom="1340" w:left="1420" w:right="1420"/>
          <w:cols w:num="2" w:equalWidth="0">
            <w:col w:w="3310" w:space="153"/>
            <w:col w:w="4017"/>
          </w:cols>
        </w:sectPr>
      </w:pPr>
    </w:p>
    <w:p>
      <w:pPr>
        <w:pStyle w:val="BodyText"/>
        <w:rPr>
          <w:sz w:val="20"/>
        </w:rPr>
      </w:pPr>
    </w:p>
    <w:p>
      <w:pPr>
        <w:pStyle w:val="BodyText"/>
        <w:rPr>
          <w:sz w:val="20"/>
        </w:rPr>
      </w:pPr>
    </w:p>
    <w:p>
      <w:pPr>
        <w:pStyle w:val="BodyText"/>
        <w:spacing w:before="6"/>
        <w:rPr>
          <w:sz w:val="24"/>
        </w:rPr>
      </w:pPr>
    </w:p>
    <w:p>
      <w:pPr>
        <w:pStyle w:val="Heading1"/>
        <w:spacing w:line="723" w:lineRule="exact"/>
        <w:ind w:left="802"/>
        <w:jc w:val="left"/>
      </w:pPr>
      <w:r>
        <w:rPr/>
        <w:t>2020年海阳市政务公开工作要点</w:t>
      </w:r>
    </w:p>
    <w:p>
      <w:pPr>
        <w:pStyle w:val="BodyText"/>
        <w:spacing w:before="12"/>
        <w:rPr>
          <w:rFonts w:ascii="方正小标宋简体"/>
          <w:i/>
          <w:sz w:val="25"/>
        </w:rPr>
      </w:pPr>
    </w:p>
    <w:p>
      <w:pPr>
        <w:pStyle w:val="BodyText"/>
        <w:spacing w:line="326" w:lineRule="auto" w:before="63"/>
        <w:ind w:left="111" w:right="102" w:firstLine="636"/>
        <w:jc w:val="both"/>
      </w:pPr>
      <w:r>
        <w:rPr/>
        <w:t>2020年是全面建成小康社会和“十三五”规划收官之年,也是我市“抢抓机遇突破年”。今年政务公开工作的总体要求是：以习近平新时代中国特色社会主义思想为指导，深入贯彻上级关于全面推进政务公开的系列部署，积极推进基层政务公开标准化规范化建设，持续提升政务公开工作质量和实效，为加快建设具有英雄气质、浪漫情怀、开放精神、精致品位的现代化滨海名城发挥积极作用。</w:t>
      </w:r>
    </w:p>
    <w:p>
      <w:pPr>
        <w:pStyle w:val="BodyText"/>
        <w:spacing w:line="386" w:lineRule="exact"/>
        <w:ind w:left="747"/>
        <w:rPr>
          <w:rFonts w:ascii="黑体" w:eastAsia="黑体" w:hint="eastAsia"/>
        </w:rPr>
      </w:pPr>
      <w:r>
        <w:rPr>
          <w:rFonts w:ascii="黑体" w:eastAsia="黑体" w:hint="eastAsia"/>
        </w:rPr>
        <w:t>一、聚焦中心工作和重点领域，拓展公开广度和</w:t>
      </w:r>
    </w:p>
    <w:p>
      <w:pPr>
        <w:pStyle w:val="BodyText"/>
        <w:spacing w:before="140"/>
        <w:ind w:left="111"/>
        <w:rPr>
          <w:rFonts w:ascii="黑体" w:eastAsia="黑体" w:hint="eastAsia"/>
        </w:rPr>
      </w:pPr>
      <w:r>
        <w:rPr>
          <w:rFonts w:ascii="黑体" w:eastAsia="黑体" w:hint="eastAsia"/>
        </w:rPr>
        <w:t>深度</w:t>
      </w:r>
    </w:p>
    <w:p>
      <w:pPr>
        <w:pStyle w:val="BodyText"/>
        <w:spacing w:before="141"/>
        <w:ind w:left="747"/>
      </w:pPr>
      <w:r>
        <w:rPr>
          <w:rFonts w:ascii="楷体_GB2312" w:eastAsia="楷体_GB2312" w:hint="eastAsia"/>
        </w:rPr>
        <w:t>（一）聚焦中心工作加强信息公开。</w:t>
      </w:r>
      <w:r>
        <w:rPr/>
        <w:t>推进多渠道</w:t>
      </w:r>
    </w:p>
    <w:p>
      <w:pPr>
        <w:pStyle w:val="BodyText"/>
        <w:spacing w:line="326" w:lineRule="auto" w:before="143"/>
        <w:ind w:left="111" w:right="102"/>
        <w:jc w:val="both"/>
      </w:pPr>
      <w:r>
        <w:rPr/>
        <w:t>公开重大决策部署进展及落实情况，加强宜业宜居宜游城市和现代化滨海名城等相关信息公开。各镇区街道、各部门要主动公开2020年“双重点”和“惠民利群”事项的工作进展、取得成效、后续举措和落实情况。继续推进财政预决算、公共资源配置、重大建设项目批准和实施、社会公益事业建设等领域的政府信息公开。</w:t>
      </w:r>
    </w:p>
    <w:p>
      <w:pPr>
        <w:spacing w:after="0" w:line="326" w:lineRule="auto"/>
        <w:jc w:val="both"/>
        <w:sectPr>
          <w:pgSz w:w="10320" w:h="14580"/>
          <w:pgMar w:header="0" w:footer="1185" w:top="1360" w:bottom="1340" w:left="1420" w:right="1420"/>
        </w:sectPr>
      </w:pPr>
    </w:p>
    <w:p>
      <w:pPr>
        <w:pStyle w:val="BodyText"/>
        <w:spacing w:before="12"/>
        <w:rPr>
          <w:sz w:val="17"/>
        </w:rPr>
      </w:pPr>
    </w:p>
    <w:p>
      <w:pPr>
        <w:pStyle w:val="BodyText"/>
        <w:spacing w:line="326" w:lineRule="auto" w:before="63"/>
        <w:ind w:left="111" w:right="102" w:firstLine="636"/>
        <w:jc w:val="both"/>
      </w:pPr>
      <w:r>
        <w:rPr>
          <w:rFonts w:ascii="楷体_GB2312" w:hAnsi="楷体_GB2312" w:eastAsia="楷体_GB2312" w:hint="eastAsia"/>
        </w:rPr>
        <w:t>（二）聚焦优化营商环境加强信息公开。</w:t>
      </w:r>
      <w:r>
        <w:rPr/>
        <w:t>围绕高质量发展和创新驱动发展，梳理公开“抢抓机遇突破年”各项内容。做好深化“放管服”改革和优化营商环境新任务新举措信息公开，及时全面公开优化营商环境配套政策及执行情况，健全政务服务、行政执法、证明事项、行政审批中介服务监管等信息公开制度，加大市场准入门槛、市场公平竞争、事中事后监管、诚信执业、“好差评”结果、社会信用等信息公开力度。在政府网站、媒体等做好涉企政策，公开惠企政策申请条件、申报材料清单、办理流程、承办部门、联系方式、起止时间等信息。</w:t>
      </w:r>
    </w:p>
    <w:p>
      <w:pPr>
        <w:pStyle w:val="BodyText"/>
        <w:spacing w:line="381" w:lineRule="exact"/>
        <w:ind w:left="747"/>
      </w:pPr>
      <w:r>
        <w:rPr>
          <w:rFonts w:ascii="楷体_GB2312" w:eastAsia="楷体_GB2312" w:hint="eastAsia"/>
        </w:rPr>
        <w:t>（三）聚焦疫情防控加强信息公开。</w:t>
      </w:r>
      <w:r>
        <w:rPr/>
        <w:t>根据疫情发</w:t>
      </w:r>
    </w:p>
    <w:p>
      <w:pPr>
        <w:pStyle w:val="BodyText"/>
        <w:spacing w:line="326" w:lineRule="auto" w:before="140"/>
        <w:ind w:left="111" w:right="102"/>
        <w:jc w:val="both"/>
      </w:pPr>
      <w:r>
        <w:rPr/>
        <w:t>展趋势，依法依规公开疫情信息和防控措施，积极宣传疫情防控知识。统筹抓好疫情防控和经济社会发展、有序推进复工复产方面的信息公开，加强各级各类应急预案公开和公共卫生知识普及，做好疫情防控常态化下疫情信息和防控措施发布工作。</w:t>
      </w:r>
    </w:p>
    <w:p>
      <w:pPr>
        <w:pStyle w:val="BodyText"/>
        <w:spacing w:line="326" w:lineRule="auto"/>
        <w:ind w:left="111" w:right="102" w:firstLine="636"/>
        <w:jc w:val="both"/>
      </w:pPr>
      <w:r>
        <w:rPr>
          <w:rFonts w:ascii="楷体_GB2312" w:hAnsi="楷体_GB2312" w:eastAsia="楷体_GB2312" w:hint="eastAsia"/>
        </w:rPr>
        <w:t>（四）聚焦“六稳”“六保”工作加强政策解读回应。</w:t>
      </w:r>
      <w:r>
        <w:rPr/>
        <w:t>全面阐释稳就业、稳金融、稳外贸、稳外资、稳投资、稳预期各项政策举措及其效果，实时发布保居民就业、保基本民生、保市场主体、保粮食能源安</w:t>
      </w:r>
    </w:p>
    <w:p>
      <w:pPr>
        <w:spacing w:after="0" w:line="326" w:lineRule="auto"/>
        <w:jc w:val="both"/>
        <w:sectPr>
          <w:pgSz w:w="10320" w:h="14580"/>
          <w:pgMar w:header="0" w:footer="1157" w:top="1360" w:bottom="1380" w:left="1420" w:right="1420"/>
        </w:sectPr>
      </w:pPr>
    </w:p>
    <w:p>
      <w:pPr>
        <w:pStyle w:val="BodyText"/>
        <w:spacing w:before="12"/>
        <w:rPr>
          <w:sz w:val="17"/>
        </w:rPr>
      </w:pPr>
    </w:p>
    <w:p>
      <w:pPr>
        <w:pStyle w:val="BodyText"/>
        <w:spacing w:line="326" w:lineRule="auto" w:before="63"/>
        <w:ind w:left="111" w:right="102"/>
        <w:jc w:val="both"/>
      </w:pPr>
      <w:r>
        <w:rPr/>
        <w:t>全、保产业链供应链稳定、保基层运转等相关政策信息。着重解读政策的背景、决策依据、出台目的、重要举措等，针对市场和社会关切事项，更详细、更及时地做好政策执行情况及宏观数据解读，正向引导社会预期。落实政务舆情回应责任，增强回应的主动性、针对性、有效性，保持正确的舆论导向。对经济社会发展热点、群众办事堵点痛点，敢于直面问题， 及时发出权威声音，主动回应社会关切。</w:t>
      </w:r>
    </w:p>
    <w:p>
      <w:pPr>
        <w:pStyle w:val="BodyText"/>
        <w:spacing w:line="384" w:lineRule="exact"/>
        <w:ind w:left="747"/>
        <w:rPr>
          <w:rFonts w:ascii="黑体" w:eastAsia="黑体" w:hint="eastAsia"/>
        </w:rPr>
      </w:pPr>
      <w:r>
        <w:rPr>
          <w:rFonts w:ascii="黑体" w:eastAsia="黑体" w:hint="eastAsia"/>
        </w:rPr>
        <w:t>二、推进行政决策、执行、管理、服务和结果全</w:t>
      </w:r>
    </w:p>
    <w:p>
      <w:pPr>
        <w:pStyle w:val="BodyText"/>
        <w:spacing w:before="142"/>
        <w:ind w:left="111"/>
        <w:rPr>
          <w:rFonts w:ascii="黑体" w:eastAsia="黑体" w:hint="eastAsia"/>
        </w:rPr>
      </w:pPr>
      <w:r>
        <w:rPr>
          <w:rFonts w:ascii="黑体" w:eastAsia="黑体" w:hint="eastAsia"/>
        </w:rPr>
        <w:t>过程公开</w:t>
      </w:r>
    </w:p>
    <w:p>
      <w:pPr>
        <w:pStyle w:val="BodyText"/>
        <w:spacing w:line="326" w:lineRule="auto" w:before="141"/>
        <w:ind w:left="111" w:right="102" w:firstLine="636"/>
        <w:jc w:val="both"/>
      </w:pPr>
      <w:r>
        <w:rPr>
          <w:rFonts w:ascii="楷体_GB2312" w:eastAsia="楷体_GB2312" w:hint="eastAsia"/>
        </w:rPr>
        <w:t>（一）持续推进决策公开。</w:t>
      </w:r>
      <w:r>
        <w:rPr/>
        <w:t>制定发布重大行政决策事项目录、标准，做好重大决策预公开工作。起草与群众生产生活密切相关的政策性文件，要充分听取广大群众的意见；需要听证的，按要求召开听证会。常态化落实邀请利益相关方、公众代表、专家、媒体等列席政府常务会、部门办公会制度，继续办好政府常务会议信息公开专栏，公开解读会议精神，准确公开会议决策事项，确保信息公开的时效性、连续性。持续深化开展政府开放日、网络问政、电视问政等多形式的公众参与和监督活动。</w:t>
      </w:r>
    </w:p>
    <w:p>
      <w:pPr>
        <w:pStyle w:val="BodyText"/>
        <w:spacing w:line="381" w:lineRule="exact"/>
        <w:ind w:left="747"/>
      </w:pPr>
      <w:r>
        <w:rPr>
          <w:rFonts w:ascii="楷体_GB2312" w:eastAsia="楷体_GB2312" w:hint="eastAsia"/>
        </w:rPr>
        <w:t>（二）推进管理和服务公开。</w:t>
      </w:r>
      <w:r>
        <w:rPr/>
        <w:t>全面梳理编写公布</w:t>
      </w:r>
    </w:p>
    <w:p>
      <w:pPr>
        <w:spacing w:after="0" w:line="381" w:lineRule="exact"/>
        <w:sectPr>
          <w:pgSz w:w="10320" w:h="14580"/>
          <w:pgMar w:header="0" w:footer="1185" w:top="1360" w:bottom="1340" w:left="1420" w:right="1420"/>
        </w:sectPr>
      </w:pPr>
    </w:p>
    <w:p>
      <w:pPr>
        <w:pStyle w:val="BodyText"/>
        <w:spacing w:before="12"/>
        <w:rPr>
          <w:sz w:val="17"/>
        </w:rPr>
      </w:pPr>
    </w:p>
    <w:p>
      <w:pPr>
        <w:pStyle w:val="BodyText"/>
        <w:spacing w:line="326" w:lineRule="auto" w:before="63"/>
        <w:ind w:left="111" w:right="102"/>
        <w:jc w:val="both"/>
      </w:pPr>
      <w:r>
        <w:rPr/>
        <w:t>各级政府行政机关机构职能目录，更新完善权责清单。建立规范性文件定期清理和公开制度，贯彻落实行政执法公示制度。深化“双随机、一公开”监管、“互联网+监管”和“信用监管”等监管信息公开。持续推进国资监管和国企改革信息公开。做好政务服务“一网通办”、政务大厅“一窗受理”、民生服务 “一链办理”、重点高频民生事项“掌上办”等方面的信息公开。推动在政务服务大厅、便民服务中心等场所设立标识清楚、方便实用的政务公开专区， 公开政务服务事项，并提供政府信息查询、信息公开申请、办事咨询答复等服务。</w:t>
      </w:r>
    </w:p>
    <w:p>
      <w:pPr>
        <w:pStyle w:val="BodyText"/>
        <w:spacing w:line="381" w:lineRule="exact"/>
        <w:ind w:left="747"/>
      </w:pPr>
      <w:r>
        <w:rPr>
          <w:rFonts w:ascii="楷体_GB2312" w:eastAsia="楷体_GB2312" w:hint="eastAsia"/>
        </w:rPr>
        <w:t>（三）推进执行和结果公开。</w:t>
      </w:r>
      <w:r>
        <w:rPr/>
        <w:t>定期公开政府工作</w:t>
      </w:r>
    </w:p>
    <w:p>
      <w:pPr>
        <w:pStyle w:val="BodyText"/>
        <w:spacing w:line="326" w:lineRule="auto" w:before="140"/>
        <w:ind w:left="111" w:right="102"/>
        <w:jc w:val="both"/>
      </w:pPr>
      <w:r>
        <w:rPr/>
        <w:t>报告重点任务、民生实事项目、重大工程项目的执行情况。做好督查和审计发现问题及整改落实情况的公开。及时公开人大代表建议和政协提案办理结果。建立重大决策执行效果跟踪反馈和后评估机制，积极开展决策执行效果的评估，科学评价政策落实效果，并将相关情况向社会公开。</w:t>
      </w:r>
    </w:p>
    <w:p>
      <w:pPr>
        <w:pStyle w:val="BodyText"/>
        <w:spacing w:line="387" w:lineRule="exact"/>
        <w:ind w:left="747"/>
        <w:rPr>
          <w:rFonts w:ascii="黑体" w:eastAsia="黑体" w:hint="eastAsia"/>
        </w:rPr>
      </w:pPr>
      <w:r>
        <w:rPr>
          <w:rFonts w:ascii="黑体" w:eastAsia="黑体" w:hint="eastAsia"/>
        </w:rPr>
        <w:t>三、推进基层政务公开标准化规范化全覆盖</w:t>
      </w:r>
    </w:p>
    <w:p>
      <w:pPr>
        <w:pStyle w:val="BodyText"/>
        <w:spacing w:line="324" w:lineRule="auto" w:before="143"/>
        <w:ind w:left="111" w:right="103" w:firstLine="636"/>
      </w:pPr>
      <w:r>
        <w:rPr>
          <w:rFonts w:ascii="楷体_GB2312" w:eastAsia="楷体_GB2312" w:hint="eastAsia"/>
        </w:rPr>
        <w:t>（一）全面推进基层政务公开标准化规范化建设。</w:t>
      </w:r>
      <w:r>
        <w:rPr/>
        <w:t>各镇区街道、各部门要对照国务院部门制定的26</w:t>
      </w:r>
    </w:p>
    <w:p>
      <w:pPr>
        <w:spacing w:after="0" w:line="324" w:lineRule="auto"/>
        <w:sectPr>
          <w:pgSz w:w="10320" w:h="14580"/>
          <w:pgMar w:header="0" w:footer="1157" w:top="1360" w:bottom="1380" w:left="1420" w:right="1420"/>
        </w:sectPr>
      </w:pPr>
    </w:p>
    <w:p>
      <w:pPr>
        <w:pStyle w:val="BodyText"/>
        <w:spacing w:before="12"/>
        <w:rPr>
          <w:sz w:val="17"/>
        </w:rPr>
      </w:pPr>
    </w:p>
    <w:p>
      <w:pPr>
        <w:pStyle w:val="BodyText"/>
        <w:spacing w:line="326" w:lineRule="auto" w:before="63"/>
        <w:ind w:left="111" w:right="102"/>
        <w:jc w:val="both"/>
      </w:pPr>
      <w:r>
        <w:rPr/>
        <w:t>个试点领域标准指引，2020年年底前，编制完成本级政务公开事项标准目录。各单位要把推进基层政务公开标准化规范化情况作为评价政务公开工作成效的重要内容。</w:t>
      </w:r>
    </w:p>
    <w:p>
      <w:pPr>
        <w:pStyle w:val="BodyText"/>
        <w:spacing w:line="326" w:lineRule="auto"/>
        <w:ind w:left="111" w:right="102" w:firstLine="636"/>
        <w:jc w:val="both"/>
      </w:pPr>
      <w:r>
        <w:rPr>
          <w:rFonts w:ascii="楷体_GB2312" w:hAnsi="楷体_GB2312" w:eastAsia="楷体_GB2312" w:hint="eastAsia"/>
        </w:rPr>
        <w:t>（二）规范政府信息公开专栏设置。</w:t>
      </w:r>
      <w:r>
        <w:rPr/>
        <w:t>按照相关要求规范政府网站政府信息公开专栏设置，统一设置并命名为“政府信息公开”，在网站首页位置展示，及时调整和落实法定主动公开内容和要求。专栏需涵盖政府信息公开指南、政府信息公开制度、法定主动公开内容和政府信息公开工作年度报告四部分。优化栏目页面设置和展现方式，完善数据检索、下载和互联互通等功能，按照法定时限及时发布并实时更新法定主动公开内容，方便社会公众快速准确获取所需信息。</w:t>
      </w:r>
    </w:p>
    <w:p>
      <w:pPr>
        <w:pStyle w:val="BodyText"/>
        <w:spacing w:line="375" w:lineRule="exact"/>
        <w:ind w:left="747"/>
      </w:pPr>
      <w:r>
        <w:rPr>
          <w:rFonts w:ascii="楷体_GB2312" w:eastAsia="楷体_GB2312" w:hint="eastAsia"/>
        </w:rPr>
        <w:t>（</w:t>
      </w:r>
      <w:r>
        <w:rPr>
          <w:rFonts w:ascii="楷体_GB2312" w:eastAsia="楷体_GB2312" w:hint="eastAsia"/>
          <w:spacing w:val="-5"/>
        </w:rPr>
        <w:t>三</w:t>
      </w:r>
      <w:r>
        <w:rPr>
          <w:rFonts w:ascii="楷体_GB2312" w:eastAsia="楷体_GB2312" w:hint="eastAsia"/>
        </w:rPr>
        <w:t>）</w:t>
      </w:r>
      <w:r>
        <w:rPr>
          <w:rFonts w:ascii="楷体_GB2312" w:eastAsia="楷体_GB2312" w:hint="eastAsia"/>
          <w:spacing w:val="-6"/>
        </w:rPr>
        <w:t>规范依申请公开工作。</w:t>
      </w:r>
      <w:r>
        <w:rPr/>
        <w:t>做好依申请公开接</w:t>
      </w:r>
    </w:p>
    <w:p>
      <w:pPr>
        <w:pStyle w:val="BodyText"/>
        <w:spacing w:line="326" w:lineRule="auto" w:before="140"/>
        <w:ind w:left="111" w:right="102"/>
        <w:jc w:val="both"/>
      </w:pPr>
      <w:r>
        <w:rPr>
          <w:spacing w:val="10"/>
        </w:rPr>
        <w:t>收、登记、办理、调查、答复、归档等各个环节工</w:t>
      </w:r>
      <w:r>
        <w:rPr>
          <w:spacing w:val="-6"/>
        </w:rPr>
        <w:t>作。注重程序规范和实体规范，推动全市行政机关依申请办理的程序化、规范化、标准化。提高协查的准确性、全面性，严防出现违反政府信息公开法律法规规定的情况。完善疑难件办理会商机制，加强与相关部门的会商，提高答复的精准度。积极探索依申请办</w:t>
      </w:r>
    </w:p>
    <w:p>
      <w:pPr>
        <w:spacing w:after="0" w:line="326" w:lineRule="auto"/>
        <w:jc w:val="both"/>
        <w:sectPr>
          <w:pgSz w:w="10320" w:h="14580"/>
          <w:pgMar w:header="0" w:footer="1185" w:top="1360" w:bottom="1340" w:left="1420" w:right="1420"/>
        </w:sectPr>
      </w:pPr>
    </w:p>
    <w:p>
      <w:pPr>
        <w:pStyle w:val="BodyText"/>
        <w:spacing w:before="12"/>
        <w:rPr>
          <w:sz w:val="17"/>
        </w:rPr>
      </w:pPr>
    </w:p>
    <w:p>
      <w:pPr>
        <w:pStyle w:val="BodyText"/>
        <w:spacing w:line="326" w:lineRule="auto" w:before="63"/>
        <w:ind w:left="111" w:right="102"/>
        <w:jc w:val="both"/>
      </w:pPr>
      <w:r>
        <w:rPr/>
        <w:t>理的新做法，总结新经验，不断提升工作实效。推动依申请公开向主动公开转化，提升依申请公开工作服务作用。</w:t>
      </w:r>
    </w:p>
    <w:p>
      <w:pPr>
        <w:pStyle w:val="BodyText"/>
        <w:spacing w:line="392" w:lineRule="exact"/>
        <w:ind w:left="747"/>
        <w:rPr>
          <w:rFonts w:ascii="黑体" w:eastAsia="黑体" w:hint="eastAsia"/>
        </w:rPr>
      </w:pPr>
      <w:r>
        <w:rPr>
          <w:rFonts w:ascii="黑体" w:eastAsia="黑体" w:hint="eastAsia"/>
        </w:rPr>
        <w:t>四、强化政务信息管理和公开平台建设</w:t>
      </w:r>
    </w:p>
    <w:p>
      <w:pPr>
        <w:pStyle w:val="BodyText"/>
        <w:spacing w:line="326" w:lineRule="auto" w:before="142"/>
        <w:ind w:left="111" w:right="102" w:firstLine="636"/>
        <w:jc w:val="both"/>
      </w:pPr>
      <w:r>
        <w:rPr>
          <w:rFonts w:ascii="楷体_GB2312" w:hAnsi="楷体_GB2312" w:eastAsia="楷体_GB2312" w:hint="eastAsia"/>
        </w:rPr>
        <w:t>（一）全链条加强政务信息管理。</w:t>
      </w:r>
      <w:r>
        <w:rPr/>
        <w:t>建立完善政务信息制作、获取、保存、处理等方面的制度，对政务信息进行全生命周期的规范管理。持续做好规范性文件公开，严格落实“三统一”规定，规范公开管理， 明确文件时效期和“有效”“失效”状态等信息，并根据立、改、废等情况动态调整更新。</w:t>
      </w:r>
    </w:p>
    <w:p>
      <w:pPr>
        <w:pStyle w:val="BodyText"/>
        <w:spacing w:line="326" w:lineRule="auto"/>
        <w:ind w:left="111" w:right="102" w:firstLine="636"/>
        <w:jc w:val="both"/>
      </w:pPr>
      <w:r>
        <w:rPr>
          <w:rFonts w:ascii="楷体_GB2312" w:eastAsia="楷体_GB2312" w:hint="eastAsia"/>
        </w:rPr>
        <w:t>（二）推进政府网站集约化管理。</w:t>
      </w:r>
      <w:r>
        <w:rPr/>
        <w:t>做好政府网站重点领域、政策解读、公众参与、建议提案办理、会议公开等专栏建设和内容维护，聚焦法定主动公开内容，创新政务公开多元展现模式。加强政府网站无障碍访问能力建设。</w:t>
      </w:r>
    </w:p>
    <w:p>
      <w:pPr>
        <w:pStyle w:val="BodyText"/>
        <w:spacing w:line="326" w:lineRule="auto"/>
        <w:ind w:left="111" w:right="102" w:firstLine="636"/>
        <w:jc w:val="both"/>
      </w:pPr>
      <w:r>
        <w:rPr>
          <w:rFonts w:ascii="楷体_GB2312" w:eastAsia="楷体_GB2312" w:hint="eastAsia"/>
        </w:rPr>
        <w:t>（三）推进政务新媒体规范有序发展。</w:t>
      </w:r>
      <w:r>
        <w:rPr/>
        <w:t>统筹推进政务新媒体与政府网站的协同联动、融合发展。明确政务新媒体功能定位,以内容建设为基础，强化发布、传播、互动、引导、办事等功能，按照做强主账号和集约节约的原则，对不符合运营规范、难以继续运营的尽快清理整合。强化内容发布前审核把关，提</w:t>
      </w:r>
    </w:p>
    <w:p>
      <w:pPr>
        <w:spacing w:after="0" w:line="326" w:lineRule="auto"/>
        <w:jc w:val="both"/>
        <w:sectPr>
          <w:pgSz w:w="10320" w:h="14580"/>
          <w:pgMar w:header="0" w:footer="1157" w:top="1360" w:bottom="1380" w:left="1420" w:right="1420"/>
        </w:sectPr>
      </w:pPr>
    </w:p>
    <w:p>
      <w:pPr>
        <w:pStyle w:val="BodyText"/>
        <w:spacing w:before="12"/>
        <w:rPr>
          <w:sz w:val="17"/>
        </w:rPr>
      </w:pPr>
    </w:p>
    <w:p>
      <w:pPr>
        <w:pStyle w:val="BodyText"/>
        <w:spacing w:line="326" w:lineRule="auto" w:before="63"/>
        <w:ind w:left="111" w:right="102"/>
        <w:jc w:val="both"/>
      </w:pPr>
      <w:r>
        <w:rPr/>
        <w:t>高政务新媒体信息发布质量。发生重大突发事件和政务舆情时，相关政务新媒体要按照规定程序，提升响应速度，滚动发布动态信息。</w:t>
      </w:r>
    </w:p>
    <w:p>
      <w:pPr>
        <w:pStyle w:val="BodyText"/>
        <w:spacing w:line="326" w:lineRule="auto"/>
        <w:ind w:left="111" w:right="102" w:firstLine="636"/>
        <w:jc w:val="both"/>
      </w:pPr>
      <w:r>
        <w:rPr>
          <w:rFonts w:ascii="楷体_GB2312" w:eastAsia="楷体_GB2312" w:hint="eastAsia"/>
        </w:rPr>
        <w:t>（四）推动政府公报创新发展。</w:t>
      </w:r>
      <w:r>
        <w:rPr/>
        <w:t>进一步增强政府公报规范性，加快推进政府公报数字化建设，积极拓展政府公报利用方式和传播渠道。突出政府公报权威性，使其在多样化的传播渠道中更好发出政府权威声音。提高政府公报时效性，缩短出刊周期，优化出刊方式。强化政府公报服务公众的功能，做好政府公报的赠阅发行。</w:t>
      </w:r>
    </w:p>
    <w:p>
      <w:pPr>
        <w:pStyle w:val="BodyText"/>
        <w:spacing w:line="326" w:lineRule="auto"/>
        <w:ind w:left="111" w:right="102" w:firstLine="636"/>
        <w:jc w:val="both"/>
      </w:pPr>
      <w:r>
        <w:rPr>
          <w:rFonts w:ascii="楷体_GB2312" w:eastAsia="楷体_GB2312" w:hint="eastAsia"/>
        </w:rPr>
        <w:t>（五）充分利用各级各类新闻媒体平台。</w:t>
      </w:r>
      <w:r>
        <w:rPr/>
        <w:t>各镇区街道、各部门要加强与宣传、网信等部门以及新闻媒体的沟通联系，充分运用各级各类新闻媒体资源，做好政务公开工作。充分发挥新闻发布会作用，增强政府信息发布的主动性、权威性和时效性。通过主动向媒体提供素材，召开媒体通气会，畅通媒体采访渠道，更好地发挥新闻媒体的公开平台作用。</w:t>
      </w:r>
    </w:p>
    <w:p>
      <w:pPr>
        <w:pStyle w:val="BodyText"/>
        <w:spacing w:line="386" w:lineRule="exact"/>
        <w:ind w:left="747"/>
        <w:rPr>
          <w:rFonts w:ascii="黑体" w:eastAsia="黑体" w:hint="eastAsia"/>
        </w:rPr>
      </w:pPr>
      <w:r>
        <w:rPr>
          <w:rFonts w:ascii="黑体" w:eastAsia="黑体" w:hint="eastAsia"/>
        </w:rPr>
        <w:t>五、强化组织保障和基础工作</w:t>
      </w:r>
    </w:p>
    <w:p>
      <w:pPr>
        <w:pStyle w:val="BodyText"/>
        <w:spacing w:line="326" w:lineRule="auto" w:before="124"/>
        <w:ind w:left="111" w:right="102" w:firstLine="636"/>
        <w:jc w:val="both"/>
      </w:pPr>
      <w:r>
        <w:rPr>
          <w:rFonts w:ascii="楷体_GB2312" w:eastAsia="楷体_GB2312" w:hint="eastAsia"/>
        </w:rPr>
        <w:t>（一）加强组织领导。</w:t>
      </w:r>
      <w:r>
        <w:rPr/>
        <w:t>各镇区街道、各部门要高度重视政务公开工作，进一步理顺完善领导体制、工作机制，明确、完善工作机构，配齐配强专职工作人</w:t>
      </w:r>
    </w:p>
    <w:p>
      <w:pPr>
        <w:spacing w:after="0" w:line="326" w:lineRule="auto"/>
        <w:jc w:val="both"/>
        <w:sectPr>
          <w:pgSz w:w="10320" w:h="14580"/>
          <w:pgMar w:header="0" w:footer="1185" w:top="1360" w:bottom="1340" w:left="1420" w:right="1420"/>
        </w:sectPr>
      </w:pPr>
    </w:p>
    <w:p>
      <w:pPr>
        <w:pStyle w:val="BodyText"/>
        <w:spacing w:before="12"/>
        <w:rPr>
          <w:sz w:val="17"/>
        </w:rPr>
      </w:pPr>
    </w:p>
    <w:p>
      <w:pPr>
        <w:pStyle w:val="BodyText"/>
        <w:spacing w:line="326" w:lineRule="auto" w:before="63"/>
        <w:ind w:left="111" w:right="102"/>
        <w:jc w:val="both"/>
      </w:pPr>
      <w:r>
        <w:rPr/>
        <w:t>员。市政府办公室要强化政务公开主管责任，加大组织协调、指导推进、监督检查力度，推进各项工作落实落地。建立完善政务公开工作主管部门与宣传、网信、政务服务、大数据管理、融媒体中心等单位的协调联动机制。</w:t>
      </w:r>
    </w:p>
    <w:p>
      <w:pPr>
        <w:pStyle w:val="BodyText"/>
        <w:spacing w:line="326" w:lineRule="auto"/>
        <w:ind w:left="111" w:right="102" w:firstLine="636"/>
        <w:jc w:val="both"/>
      </w:pPr>
      <w:r>
        <w:rPr>
          <w:rFonts w:ascii="楷体_GB2312" w:eastAsia="楷体_GB2312" w:hint="eastAsia"/>
        </w:rPr>
        <w:t>（二）完善制度规范。</w:t>
      </w:r>
      <w:r>
        <w:rPr/>
        <w:t>继续完善主动公开和依申请公开制度，规范行政决策、执行、管理、服务和结果信息公开，及时更新政府信息公开指南，完善主动公开基本目录，并动态调整更新。制定政策解读规则，指导各单位提升政策解读水平。完善公共企事业单位信息公开制度。</w:t>
      </w:r>
    </w:p>
    <w:p>
      <w:pPr>
        <w:pStyle w:val="BodyText"/>
        <w:spacing w:line="389" w:lineRule="exact"/>
        <w:ind w:left="747"/>
      </w:pPr>
      <w:r>
        <w:rPr>
          <w:rFonts w:ascii="楷体_GB2312" w:eastAsia="楷体_GB2312" w:hint="eastAsia"/>
        </w:rPr>
        <w:t>（三）强化监督评价。</w:t>
      </w:r>
      <w:r>
        <w:rPr/>
        <w:t>各镇区街道、各部门要对</w:t>
      </w:r>
    </w:p>
    <w:p>
      <w:pPr>
        <w:pStyle w:val="BodyText"/>
        <w:spacing w:line="326" w:lineRule="auto" w:before="132"/>
        <w:ind w:left="111" w:right="102"/>
        <w:jc w:val="both"/>
      </w:pPr>
      <w:r>
        <w:rPr/>
        <w:t>《中共中央办公厅国务院办公厅关于全面推进政务公开工作的意见》及其实施细则安排部署的各项工作进行“回头看”，逐项对照自查落实情况，市政府办公室适时组织开展落实情况抽查和评估。要将政务公开列入领导干部和公务员培训内容，分级分类做好培训。各镇区街道、各部门要加强对本单位的政务公开培训，切实提升工作能力和水平。</w:t>
      </w:r>
    </w:p>
    <w:p>
      <w:pPr>
        <w:pStyle w:val="BodyText"/>
        <w:spacing w:line="324" w:lineRule="auto"/>
        <w:ind w:left="111" w:right="102" w:firstLine="636"/>
      </w:pPr>
      <w:r>
        <w:rPr/>
        <w:t>各镇区街道、各部门要结合实际，抓紧提出落实本要点的具体措施，认真抓好落实。贯彻落实本要点</w:t>
      </w:r>
    </w:p>
    <w:p>
      <w:pPr>
        <w:pStyle w:val="BodyText"/>
        <w:spacing w:before="2"/>
        <w:rPr>
          <w:sz w:val="8"/>
        </w:rPr>
      </w:pPr>
    </w:p>
    <w:p>
      <w:pPr>
        <w:spacing w:before="69"/>
        <w:ind w:left="461" w:right="0" w:firstLine="0"/>
        <w:jc w:val="left"/>
        <w:rPr>
          <w:rFonts w:ascii="宋体" w:hAnsi="宋体"/>
          <w:sz w:val="28"/>
        </w:rPr>
      </w:pPr>
      <w:r>
        <w:rPr>
          <w:rFonts w:ascii="宋体" w:hAnsi="宋体"/>
          <w:sz w:val="28"/>
        </w:rPr>
        <w:t>—</w:t>
      </w:r>
      <w:r>
        <w:rPr>
          <w:rFonts w:ascii="宋体" w:hAnsi="宋体"/>
          <w:spacing w:val="-73"/>
          <w:sz w:val="28"/>
        </w:rPr>
        <w:t> </w:t>
      </w:r>
      <w:r>
        <w:rPr>
          <w:rFonts w:ascii="Times New Roman" w:hAnsi="Times New Roman"/>
          <w:sz w:val="28"/>
        </w:rPr>
        <w:t>10 </w:t>
      </w:r>
      <w:r>
        <w:rPr>
          <w:rFonts w:ascii="宋体" w:hAnsi="宋体"/>
          <w:sz w:val="28"/>
        </w:rPr>
        <w:t>—</w:t>
      </w:r>
    </w:p>
    <w:p>
      <w:pPr>
        <w:spacing w:after="0"/>
        <w:jc w:val="left"/>
        <w:rPr>
          <w:rFonts w:ascii="宋体" w:hAnsi="宋体"/>
          <w:sz w:val="28"/>
        </w:rPr>
        <w:sectPr>
          <w:footerReference w:type="even" r:id="rId7"/>
          <w:pgSz w:w="10320" w:h="14580"/>
          <w:pgMar w:footer="0" w:header="0" w:top="1360" w:bottom="280" w:left="1420" w:right="1420"/>
        </w:sectPr>
      </w:pPr>
    </w:p>
    <w:p>
      <w:pPr>
        <w:pStyle w:val="BodyText"/>
        <w:spacing w:before="12"/>
        <w:rPr>
          <w:rFonts w:ascii="宋体"/>
          <w:sz w:val="17"/>
        </w:rPr>
      </w:pPr>
    </w:p>
    <w:p>
      <w:pPr>
        <w:pStyle w:val="BodyText"/>
        <w:spacing w:line="324" w:lineRule="auto" w:before="63"/>
        <w:ind w:left="111" w:right="102"/>
      </w:pPr>
      <w:r>
        <w:rPr/>
        <w:t>的情况，要纳入政府信息公开年度报告，并向社会公开。</w:t>
      </w:r>
    </w:p>
    <w:p>
      <w:pPr>
        <w:pStyle w:val="BodyText"/>
        <w:rPr>
          <w:sz w:val="38"/>
        </w:rPr>
      </w:pPr>
    </w:p>
    <w:p>
      <w:pPr>
        <w:pStyle w:val="BodyText"/>
        <w:ind w:left="740"/>
      </w:pPr>
      <w:r>
        <w:rPr>
          <w:w w:val="95"/>
        </w:rPr>
        <w:t>附件：2020年海阳市政务公开工作要点任务分解表</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pict>
          <v:shape style="position:absolute;margin-left:76.559998pt;margin-top:11.524438pt;width:362.55pt;height:.1pt;mso-position-horizontal-relative:page;mso-position-vertical-relative:paragraph;z-index:-251657216;mso-wrap-distance-left:0;mso-wrap-distance-right:0" coordorigin="1531,230" coordsize="7251,0" path="m1531,230l8782,230e" filled="false" stroked="true" strokeweight="1.68pt" strokecolor="#000000">
            <v:path arrowok="t"/>
            <v:stroke dashstyle="solid"/>
            <w10:wrap type="topAndBottom"/>
          </v:shape>
        </w:pict>
      </w:r>
    </w:p>
    <w:p>
      <w:pPr>
        <w:tabs>
          <w:tab w:pos="7315" w:val="left" w:leader="none"/>
        </w:tabs>
        <w:spacing w:before="96"/>
        <w:ind w:left="111" w:right="0" w:firstLine="0"/>
        <w:jc w:val="left"/>
        <w:rPr>
          <w:sz w:val="28"/>
        </w:rPr>
      </w:pPr>
      <w:r>
        <w:rPr>
          <w:rFonts w:ascii="Times New Roman" w:eastAsia="Times New Roman"/>
          <w:w w:val="78"/>
          <w:sz w:val="28"/>
          <w:u w:val="thick"/>
        </w:rPr>
        <w:t> </w:t>
      </w:r>
      <w:r>
        <w:rPr>
          <w:rFonts w:ascii="Times New Roman" w:eastAsia="Times New Roman"/>
          <w:spacing w:val="-13"/>
          <w:sz w:val="28"/>
          <w:u w:val="thick"/>
        </w:rPr>
        <w:t> </w:t>
      </w:r>
      <w:r>
        <w:rPr>
          <w:w w:val="75"/>
          <w:sz w:val="28"/>
          <w:u w:val="thick"/>
        </w:rPr>
        <w:t>抄</w:t>
      </w:r>
      <w:r>
        <w:rPr>
          <w:spacing w:val="7"/>
          <w:w w:val="75"/>
          <w:sz w:val="28"/>
          <w:u w:val="thick"/>
        </w:rPr>
        <w:t>送</w:t>
      </w:r>
      <w:r>
        <w:rPr>
          <w:w w:val="75"/>
          <w:sz w:val="28"/>
          <w:u w:val="thick"/>
        </w:rPr>
        <w:t>：</w:t>
      </w:r>
      <w:r>
        <w:rPr>
          <w:spacing w:val="4"/>
          <w:w w:val="75"/>
          <w:sz w:val="28"/>
          <w:u w:val="thick"/>
        </w:rPr>
        <w:t>市</w:t>
      </w:r>
      <w:r>
        <w:rPr>
          <w:w w:val="75"/>
          <w:sz w:val="28"/>
          <w:u w:val="thick"/>
        </w:rPr>
        <w:t>委办</w:t>
      </w:r>
      <w:r>
        <w:rPr>
          <w:spacing w:val="7"/>
          <w:w w:val="75"/>
          <w:sz w:val="28"/>
          <w:u w:val="thick"/>
        </w:rPr>
        <w:t>、</w:t>
      </w:r>
      <w:r>
        <w:rPr>
          <w:w w:val="75"/>
          <w:sz w:val="28"/>
          <w:u w:val="thick"/>
        </w:rPr>
        <w:t>市</w:t>
      </w:r>
      <w:r>
        <w:rPr>
          <w:spacing w:val="7"/>
          <w:w w:val="75"/>
          <w:sz w:val="28"/>
          <w:u w:val="thick"/>
        </w:rPr>
        <w:t>纪</w:t>
      </w:r>
      <w:r>
        <w:rPr>
          <w:w w:val="75"/>
          <w:sz w:val="28"/>
          <w:u w:val="thick"/>
        </w:rPr>
        <w:t>委、</w:t>
      </w:r>
      <w:r>
        <w:rPr>
          <w:spacing w:val="4"/>
          <w:w w:val="75"/>
          <w:sz w:val="28"/>
          <w:u w:val="thick"/>
        </w:rPr>
        <w:t>人</w:t>
      </w:r>
      <w:r>
        <w:rPr>
          <w:w w:val="75"/>
          <w:sz w:val="28"/>
          <w:u w:val="thick"/>
        </w:rPr>
        <w:t>大</w:t>
      </w:r>
      <w:r>
        <w:rPr>
          <w:spacing w:val="7"/>
          <w:w w:val="75"/>
          <w:sz w:val="28"/>
          <w:u w:val="thick"/>
        </w:rPr>
        <w:t>办</w:t>
      </w:r>
      <w:r>
        <w:rPr>
          <w:w w:val="75"/>
          <w:sz w:val="28"/>
          <w:u w:val="thick"/>
        </w:rPr>
        <w:t>、政</w:t>
      </w:r>
      <w:r>
        <w:rPr>
          <w:spacing w:val="7"/>
          <w:w w:val="75"/>
          <w:sz w:val="28"/>
          <w:u w:val="thick"/>
        </w:rPr>
        <w:t>协</w:t>
      </w:r>
      <w:r>
        <w:rPr>
          <w:w w:val="75"/>
          <w:sz w:val="28"/>
          <w:u w:val="thick"/>
        </w:rPr>
        <w:t>办</w:t>
      </w:r>
      <w:r>
        <w:rPr>
          <w:spacing w:val="4"/>
          <w:w w:val="75"/>
          <w:sz w:val="28"/>
          <w:u w:val="thick"/>
        </w:rPr>
        <w:t>、</w:t>
      </w:r>
      <w:r>
        <w:rPr>
          <w:w w:val="75"/>
          <w:sz w:val="28"/>
          <w:u w:val="thick"/>
        </w:rPr>
        <w:t>法院</w:t>
      </w:r>
      <w:r>
        <w:rPr>
          <w:spacing w:val="4"/>
          <w:w w:val="75"/>
          <w:sz w:val="28"/>
          <w:u w:val="thick"/>
        </w:rPr>
        <w:t>、</w:t>
      </w:r>
      <w:r>
        <w:rPr>
          <w:w w:val="75"/>
          <w:sz w:val="28"/>
          <w:u w:val="thick"/>
        </w:rPr>
        <w:t>检</w:t>
      </w:r>
      <w:r>
        <w:rPr>
          <w:spacing w:val="7"/>
          <w:w w:val="75"/>
          <w:sz w:val="28"/>
          <w:u w:val="thick"/>
        </w:rPr>
        <w:t>察</w:t>
      </w:r>
      <w:r>
        <w:rPr>
          <w:w w:val="75"/>
          <w:sz w:val="28"/>
          <w:u w:val="thick"/>
        </w:rPr>
        <w:t>院，</w:t>
      </w:r>
      <w:r>
        <w:rPr>
          <w:spacing w:val="4"/>
          <w:w w:val="75"/>
          <w:sz w:val="28"/>
          <w:u w:val="thick"/>
        </w:rPr>
        <w:t>存</w:t>
      </w:r>
      <w:r>
        <w:rPr>
          <w:w w:val="75"/>
          <w:sz w:val="28"/>
          <w:u w:val="thick"/>
        </w:rPr>
        <w:t>档。</w:t>
      </w:r>
      <w:r>
        <w:rPr>
          <w:sz w:val="28"/>
          <w:u w:val="thick"/>
        </w:rPr>
        <w:tab/>
      </w:r>
    </w:p>
    <w:p>
      <w:pPr>
        <w:spacing w:after="0"/>
        <w:jc w:val="left"/>
        <w:rPr>
          <w:sz w:val="28"/>
        </w:rPr>
        <w:sectPr>
          <w:footerReference w:type="default" r:id="rId8"/>
          <w:pgSz w:w="10320" w:h="14580"/>
          <w:pgMar w:footer="0" w:header="0" w:top="1360" w:bottom="280" w:left="1420" w:right="1420"/>
        </w:sectPr>
      </w:pPr>
    </w:p>
    <w:p>
      <w:pPr>
        <w:spacing w:before="124"/>
        <w:ind w:left="293" w:right="0" w:firstLine="0"/>
        <w:jc w:val="left"/>
        <w:rPr>
          <w:sz w:val="28"/>
        </w:rPr>
      </w:pPr>
      <w:r>
        <w:rPr/>
        <w:pict>
          <v:group style="position:absolute;margin-left:76.559998pt;margin-top:22.359999pt;width:362.3pt;height:1.7pt;mso-position-horizontal-relative:page;mso-position-vertical-relative:paragraph;z-index:251660288" coordorigin="1531,447" coordsize="7246,34">
            <v:rect style="position:absolute;left:1531;top:447;width:2626;height:34" filled="true" fillcolor="#000000" stroked="false">
              <v:fill type="solid"/>
            </v:rect>
            <v:shape style="position:absolute;left:4149;top:464;width:2115;height:2" coordorigin="4150,464" coordsize="2115,0" path="m4150,464l5988,464m5981,464l6209,464m6202,464l6264,464e" filled="false" stroked="true" strokeweight="1.68pt" strokecolor="#000000">
              <v:path arrowok="t"/>
              <v:stroke dashstyle="solid"/>
            </v:shape>
            <v:rect style="position:absolute;left:6259;top:447;width:2518;height:34" filled="true" fillcolor="#000000" stroked="false">
              <v:fill type="solid"/>
            </v:rect>
            <w10:wrap type="none"/>
          </v:group>
        </w:pict>
      </w:r>
      <w:r>
        <w:rPr>
          <w:w w:val="75"/>
          <w:sz w:val="28"/>
        </w:rPr>
        <w:t>海阳市人民政府办公室</w:t>
      </w:r>
    </w:p>
    <w:p>
      <w:pPr>
        <w:spacing w:before="124"/>
        <w:ind w:left="293" w:right="0" w:firstLine="0"/>
        <w:jc w:val="left"/>
        <w:rPr>
          <w:sz w:val="28"/>
        </w:rPr>
      </w:pPr>
      <w:r>
        <w:rPr/>
        <w:br w:type="column"/>
      </w:r>
      <w:r>
        <w:rPr>
          <w:rFonts w:ascii="Times New Roman" w:eastAsia="Times New Roman"/>
          <w:w w:val="90"/>
          <w:sz w:val="28"/>
        </w:rPr>
        <w:t>2020</w:t>
      </w:r>
      <w:r>
        <w:rPr>
          <w:w w:val="90"/>
          <w:sz w:val="28"/>
        </w:rPr>
        <w:t>年</w:t>
      </w:r>
      <w:r>
        <w:rPr>
          <w:rFonts w:ascii="Times New Roman" w:eastAsia="Times New Roman"/>
          <w:w w:val="90"/>
          <w:sz w:val="28"/>
        </w:rPr>
        <w:t>7</w:t>
      </w:r>
      <w:r>
        <w:rPr>
          <w:w w:val="90"/>
          <w:sz w:val="28"/>
        </w:rPr>
        <w:t>月</w:t>
      </w:r>
      <w:r>
        <w:rPr>
          <w:rFonts w:ascii="Times New Roman" w:eastAsia="Times New Roman"/>
          <w:w w:val="90"/>
          <w:sz w:val="28"/>
        </w:rPr>
        <w:t>12</w:t>
      </w:r>
      <w:r>
        <w:rPr>
          <w:w w:val="90"/>
          <w:sz w:val="28"/>
        </w:rPr>
        <w:t>日印发</w:t>
      </w:r>
    </w:p>
    <w:p>
      <w:pPr>
        <w:spacing w:after="0"/>
        <w:jc w:val="left"/>
        <w:rPr>
          <w:sz w:val="28"/>
        </w:rPr>
        <w:sectPr>
          <w:type w:val="continuous"/>
          <w:pgSz w:w="10320" w:h="14580"/>
          <w:pgMar w:top="1360" w:bottom="1340" w:left="1420" w:right="1420"/>
          <w:cols w:num="2" w:equalWidth="0">
            <w:col w:w="2595" w:space="1951"/>
            <w:col w:w="2934"/>
          </w:cols>
        </w:sectPr>
      </w:pPr>
    </w:p>
    <w:p>
      <w:pPr>
        <w:pStyle w:val="BodyText"/>
        <w:spacing w:before="3"/>
        <w:rPr>
          <w:sz w:val="26"/>
        </w:rPr>
      </w:pPr>
    </w:p>
    <w:p>
      <w:pPr>
        <w:spacing w:before="68"/>
        <w:ind w:left="0" w:right="344" w:firstLine="0"/>
        <w:jc w:val="right"/>
        <w:rPr>
          <w:sz w:val="28"/>
        </w:rPr>
      </w:pPr>
      <w:r>
        <w:rPr>
          <w:sz w:val="28"/>
        </w:rPr>
        <w:t>—</w:t>
      </w:r>
      <w:r>
        <w:rPr>
          <w:spacing w:val="-75"/>
          <w:sz w:val="28"/>
        </w:rPr>
        <w:t> </w:t>
      </w:r>
      <w:r>
        <w:rPr>
          <w:rFonts w:ascii="Times New Roman" w:hAnsi="Times New Roman"/>
          <w:sz w:val="28"/>
        </w:rPr>
        <w:t>11 </w:t>
      </w:r>
      <w:r>
        <w:rPr>
          <w:sz w:val="28"/>
        </w:rPr>
        <w:t>—</w:t>
      </w:r>
    </w:p>
    <w:sectPr>
      <w:type w:val="continuous"/>
      <w:pgSz w:w="10320" w:h="14580"/>
      <w:pgMar w:top="1360" w:bottom="134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华文中宋">
    <w:altName w:val="华文中宋"/>
    <w:charset w:val="86"/>
    <w:family w:val="auto"/>
    <w:pitch w:val="variable"/>
  </w:font>
  <w:font w:name="仿宋_GB2312">
    <w:altName w:val="仿宋_GB2312"/>
    <w:charset w:val="86"/>
    <w:family w:val="modern"/>
    <w:pitch w:val="fixed"/>
  </w:font>
  <w:font w:name="方正小标宋简体">
    <w:altName w:val="方正小标宋简体"/>
    <w:charset w:val="86"/>
    <w:family w:val="script"/>
    <w:pitch w:val="fixed"/>
  </w:font>
  <w:font w:name="宋体">
    <w:altName w:val="宋体"/>
    <w:charset w:val="86"/>
    <w:family w:val="auto"/>
    <w:pitch w:val="variable"/>
  </w:font>
  <w:font w:name="黑体">
    <w:altName w:val="黑体"/>
    <w:charset w:val="86"/>
    <w:family w:val="modern"/>
    <w:pitch w:val="fixed"/>
  </w:font>
  <w:font w:name="楷体_GB2312">
    <w:altName w:val="楷体_GB2312"/>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7.720001pt;margin-top:659.675720pt;width:44pt;height:17.45pt;mso-position-horizontal-relative:page;mso-position-vertical-relative:page;z-index:-251859968" type="#_x0000_t202" filled="false" stroked="false">
          <v:textbox inset="0,0,0,0">
            <w:txbxContent>
              <w:p>
                <w:pPr>
                  <w:spacing w:line="347" w:lineRule="exact" w:before="0"/>
                  <w:ind w:left="20" w:right="0" w:firstLine="0"/>
                  <w:jc w:val="left"/>
                  <w:rPr>
                    <w:sz w:val="28"/>
                  </w:rPr>
                </w:pPr>
                <w:r>
                  <w:rPr>
                    <w:sz w:val="28"/>
                  </w:rPr>
                  <w:t>—</w:t>
                </w:r>
                <w:r>
                  <w:rPr>
                    <w:spacing w:val="-71"/>
                    <w:sz w:val="28"/>
                  </w:rPr>
                  <w:t> </w:t>
                </w:r>
                <w:r>
                  <w:rPr/>
                  <w:fldChar w:fldCharType="begin"/>
                </w:r>
                <w:r>
                  <w:rPr>
                    <w:rFonts w:ascii="Times New Roman" w:hAnsi="Times New Roman"/>
                    <w:sz w:val="28"/>
                  </w:rPr>
                  <w:instrText> PAGE </w:instrText>
                </w:r>
                <w:r>
                  <w:rPr/>
                  <w:fldChar w:fldCharType="separate"/>
                </w:r>
                <w:r>
                  <w:rPr/>
                  <w:t>1</w:t>
                </w:r>
                <w:r>
                  <w:rPr/>
                  <w:fldChar w:fldCharType="end"/>
                </w:r>
                <w:r>
                  <w:rPr>
                    <w:rFonts w:ascii="Times New Roman" w:hAnsi="Times New Roman"/>
                    <w:sz w:val="28"/>
                  </w:rPr>
                  <w:t> </w:t>
                </w:r>
                <w:r>
                  <w:rPr>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3.080002pt;margin-top:658.235718pt;width:44pt;height:17.45pt;mso-position-horizontal-relative:page;mso-position-vertical-relative:page;z-index:-251858944" type="#_x0000_t202" filled="false" stroked="false">
          <v:textbox inset="0,0,0,0">
            <w:txbxContent>
              <w:p>
                <w:pPr>
                  <w:spacing w:line="347" w:lineRule="exact" w:before="0"/>
                  <w:ind w:left="20" w:right="0" w:firstLine="0"/>
                  <w:jc w:val="left"/>
                  <w:rPr>
                    <w:rFonts w:ascii="宋体" w:hAnsi="宋体"/>
                    <w:sz w:val="28"/>
                  </w:rPr>
                </w:pPr>
                <w:r>
                  <w:rPr>
                    <w:rFonts w:ascii="宋体" w:hAnsi="宋体"/>
                    <w:sz w:val="28"/>
                  </w:rPr>
                  <w:t>—</w:t>
                </w:r>
                <w:r>
                  <w:rPr>
                    <w:rFonts w:ascii="宋体" w:hAnsi="宋体"/>
                    <w:spacing w:val="-71"/>
                    <w:sz w:val="28"/>
                  </w:rPr>
                  <w:t> </w:t>
                </w:r>
                <w:r>
                  <w:rPr/>
                  <w:fldChar w:fldCharType="begin"/>
                </w:r>
                <w:r>
                  <w:rPr>
                    <w:rFonts w:ascii="Times New Roman" w:hAnsi="Times New Roman"/>
                    <w:sz w:val="28"/>
                  </w:rPr>
                  <w:instrText> PAGE </w:instrText>
                </w:r>
                <w:r>
                  <w:rPr/>
                  <w:fldChar w:fldCharType="separate"/>
                </w:r>
                <w:r>
                  <w:rPr/>
                  <w:t>2</w:t>
                </w:r>
                <w:r>
                  <w:rPr/>
                  <w:fldChar w:fldCharType="end"/>
                </w:r>
                <w:r>
                  <w:rPr>
                    <w:rFonts w:ascii="Times New Roman" w:hAnsi="Times New Roman"/>
                    <w:sz w:val="28"/>
                  </w:rPr>
                  <w:t> </w:t>
                </w:r>
                <w:r>
                  <w:rPr>
                    <w:rFonts w:ascii="宋体" w:hAnsi="宋体"/>
                    <w:sz w:val="2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_GB2312" w:hAnsi="仿宋_GB2312" w:eastAsia="仿宋_GB2312" w:cs="仿宋_GB2312"/>
      <w:lang w:val="zh-CN" w:eastAsia="zh-CN" w:bidi="zh-CN"/>
    </w:rPr>
  </w:style>
  <w:style w:styleId="BodyText" w:type="paragraph">
    <w:name w:val="Body Text"/>
    <w:basedOn w:val="Normal"/>
    <w:uiPriority w:val="1"/>
    <w:qFormat/>
    <w:pPr/>
    <w:rPr>
      <w:rFonts w:ascii="仿宋_GB2312" w:hAnsi="仿宋_GB2312" w:eastAsia="仿宋_GB2312" w:cs="仿宋_GB2312"/>
      <w:sz w:val="31"/>
      <w:szCs w:val="31"/>
      <w:lang w:val="zh-CN" w:eastAsia="zh-CN" w:bidi="zh-CN"/>
    </w:rPr>
  </w:style>
  <w:style w:styleId="Heading1" w:type="paragraph">
    <w:name w:val="Heading 1"/>
    <w:basedOn w:val="Normal"/>
    <w:uiPriority w:val="1"/>
    <w:qFormat/>
    <w:pPr>
      <w:ind w:left="150"/>
      <w:jc w:val="center"/>
      <w:outlineLvl w:val="1"/>
    </w:pPr>
    <w:rPr>
      <w:rFonts w:ascii="方正小标宋简体" w:hAnsi="方正小标宋简体" w:eastAsia="方正小标宋简体" w:cs="方正小标宋简体"/>
      <w:i/>
      <w:sz w:val="42"/>
      <w:szCs w:val="42"/>
      <w:lang w:val="zh-CN" w:eastAsia="zh-CN" w:bidi="zh-CN"/>
    </w:rPr>
  </w:style>
  <w:style w:styleId="Title" w:type="paragraph">
    <w:name w:val="Title"/>
    <w:basedOn w:val="Normal"/>
    <w:uiPriority w:val="1"/>
    <w:qFormat/>
    <w:pPr>
      <w:spacing w:line="1993" w:lineRule="exact"/>
      <w:ind w:left="150" w:right="65"/>
      <w:jc w:val="center"/>
    </w:pPr>
    <w:rPr>
      <w:rFonts w:ascii="华文中宋" w:hAnsi="华文中宋" w:eastAsia="华文中宋" w:cs="华文中宋"/>
      <w:b/>
      <w:bCs/>
      <w:sz w:val="130"/>
      <w:szCs w:val="130"/>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2020-12-15T04:39:20Z</dcterms:created>
  <dcterms:modified xsi:type="dcterms:W3CDTF">2020-12-15T04:39:20Z</dcterms:modified>
</cp:coreProperties>
</file>